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41F5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广州市增城区中医医院2025-2026年供电线路、设备委托维护</w:t>
      </w:r>
      <w:r>
        <w:rPr>
          <w:rFonts w:hint="eastAsia" w:ascii="宋体" w:hAnsi="宋体" w:cs="宋体"/>
          <w:b/>
          <w:bCs/>
          <w:kern w:val="2"/>
          <w:sz w:val="44"/>
          <w:szCs w:val="44"/>
          <w:lang w:val="en-US" w:eastAsia="zh-CN" w:bidi="ar-SA"/>
        </w:rPr>
        <w:t>维修</w:t>
      </w:r>
      <w:r>
        <w:rPr>
          <w:rFonts w:hint="eastAsia" w:ascii="宋体" w:hAnsi="宋体" w:eastAsia="宋体" w:cs="宋体"/>
          <w:b/>
          <w:bCs/>
          <w:kern w:val="2"/>
          <w:sz w:val="44"/>
          <w:szCs w:val="44"/>
          <w:lang w:val="en-US" w:eastAsia="zh-CN" w:bidi="ar-SA"/>
        </w:rPr>
        <w:t>项目采购需求</w:t>
      </w:r>
    </w:p>
    <w:p w14:paraId="2F42A89A">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2"/>
        <w:rPr>
          <w:rFonts w:hint="eastAsia" w:ascii="宋体" w:hAnsi="宋体" w:eastAsia="宋体" w:cs="宋体"/>
          <w:b/>
          <w:color w:val="auto"/>
          <w:sz w:val="21"/>
          <w:szCs w:val="21"/>
          <w:highlight w:val="none"/>
        </w:rPr>
      </w:pPr>
      <w:bookmarkStart w:id="0" w:name="_Toc31935"/>
    </w:p>
    <w:p w14:paraId="0A02AAD8">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一、项目概况</w:t>
      </w:r>
    </w:p>
    <w:p w14:paraId="04F8502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1.项目名称：广州市增城区中医医院2025年-2026年供电线路、设备委托维护维修项目</w:t>
      </w:r>
    </w:p>
    <w:p w14:paraId="3435CEB4">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2.服务单位：广州市增城区中医医院</w:t>
      </w:r>
    </w:p>
    <w:p w14:paraId="282C14F3">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3.服务地点：广州市增城区荔城街民生路50号</w:t>
      </w:r>
    </w:p>
    <w:p w14:paraId="6ACCEA22">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t>4.项目年度预算：</w:t>
      </w:r>
      <w:r>
        <w:rPr>
          <w:rFonts w:hint="eastAsia" w:ascii="仿宋" w:hAnsi="仿宋" w:eastAsia="仿宋" w:cs="仿宋"/>
          <w:color w:val="FF0000"/>
          <w:sz w:val="28"/>
          <w:szCs w:val="28"/>
          <w:highlight w:val="none"/>
          <w:lang w:val="en-US" w:eastAsia="zh-CN"/>
        </w:rPr>
        <w:t>13.8万</w:t>
      </w:r>
      <w:r>
        <w:rPr>
          <w:rFonts w:hint="eastAsia" w:ascii="仿宋" w:hAnsi="仿宋" w:eastAsia="仿宋" w:cs="仿宋"/>
          <w:color w:val="FF0000"/>
          <w:sz w:val="28"/>
          <w:szCs w:val="28"/>
          <w:highlight w:val="none"/>
        </w:rPr>
        <w:t>元，</w:t>
      </w:r>
      <w:r>
        <w:rPr>
          <w:rFonts w:hint="eastAsia" w:ascii="仿宋" w:hAnsi="仿宋" w:eastAsia="仿宋" w:cs="仿宋"/>
          <w:color w:val="FF0000"/>
          <w:sz w:val="28"/>
          <w:szCs w:val="28"/>
          <w:highlight w:val="none"/>
          <w:lang w:val="en-US" w:eastAsia="zh-CN"/>
        </w:rPr>
        <w:t>其中日常维保费用约3.8万元；故障维修约10万元（按实际维修费用列支）</w:t>
      </w:r>
      <w:r>
        <w:rPr>
          <w:rFonts w:hint="eastAsia" w:ascii="仿宋" w:hAnsi="仿宋" w:eastAsia="仿宋" w:cs="仿宋"/>
          <w:color w:val="FF0000"/>
          <w:sz w:val="28"/>
          <w:szCs w:val="28"/>
          <w:highlight w:val="none"/>
        </w:rPr>
        <w:t>。</w:t>
      </w:r>
    </w:p>
    <w:p w14:paraId="37733B7C">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rPr>
        <w:t>5.</w:t>
      </w:r>
      <w:r>
        <w:rPr>
          <w:rFonts w:hint="eastAsia" w:ascii="仿宋" w:hAnsi="仿宋" w:eastAsia="仿宋" w:cs="仿宋"/>
          <w:color w:val="FF0000"/>
          <w:sz w:val="28"/>
          <w:szCs w:val="28"/>
          <w:highlight w:val="none"/>
          <w:lang w:val="en-US" w:eastAsia="zh-CN"/>
        </w:rPr>
        <w:t>比价计算规则为：按年度日常维保费和故障维修服务清单表的最高限价情况，对整个项目按最高限价报下浮率。下浮率最高的为成交供应商。</w:t>
      </w:r>
    </w:p>
    <w:p w14:paraId="2159D398">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.服务期限：自合同签订之日起</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年</w:t>
      </w:r>
    </w:p>
    <w:p w14:paraId="42DBA9B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采购方式：比价</w:t>
      </w:r>
    </w:p>
    <w:p w14:paraId="7EF1D585">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0000FF"/>
          <w:sz w:val="28"/>
          <w:szCs w:val="28"/>
          <w:highlight w:val="none"/>
          <w:lang w:val="en-US" w:eastAsia="zh-CN"/>
        </w:rPr>
      </w:pPr>
      <w:r>
        <w:rPr>
          <w:rFonts w:hint="eastAsia" w:ascii="仿宋" w:hAnsi="仿宋" w:eastAsia="仿宋" w:cs="仿宋"/>
          <w:color w:val="0000FF"/>
          <w:sz w:val="28"/>
          <w:szCs w:val="28"/>
          <w:highlight w:val="none"/>
          <w:lang w:val="en-US" w:eastAsia="zh-CN"/>
        </w:rPr>
        <w:t>8</w:t>
      </w:r>
      <w:r>
        <w:rPr>
          <w:rFonts w:hint="eastAsia" w:ascii="仿宋" w:hAnsi="仿宋" w:eastAsia="仿宋" w:cs="仿宋"/>
          <w:color w:val="0000FF"/>
          <w:sz w:val="28"/>
          <w:szCs w:val="28"/>
          <w:highlight w:val="none"/>
        </w:rPr>
        <w:t>.本项目</w:t>
      </w:r>
      <w:r>
        <w:rPr>
          <w:rFonts w:hint="eastAsia" w:ascii="仿宋" w:hAnsi="仿宋" w:eastAsia="仿宋" w:cs="仿宋"/>
          <w:color w:val="0000FF"/>
          <w:sz w:val="28"/>
          <w:szCs w:val="28"/>
          <w:highlight w:val="none"/>
          <w:lang w:eastAsia="zh-CN"/>
        </w:rPr>
        <w:t>成交供应商</w:t>
      </w:r>
      <w:r>
        <w:rPr>
          <w:rFonts w:hint="eastAsia" w:ascii="仿宋" w:hAnsi="仿宋" w:eastAsia="仿宋" w:cs="仿宋"/>
          <w:color w:val="0000FF"/>
          <w:sz w:val="28"/>
          <w:szCs w:val="28"/>
          <w:highlight w:val="none"/>
        </w:rPr>
        <w:t>为采购人中医院#3专用配电站10KV电缆起，至10KV中医#3专用配电站各低压柜</w:t>
      </w:r>
      <w:r>
        <w:rPr>
          <w:rFonts w:hint="eastAsia" w:ascii="仿宋" w:hAnsi="仿宋" w:eastAsia="仿宋" w:cs="仿宋"/>
          <w:color w:val="0000FF"/>
          <w:sz w:val="28"/>
          <w:szCs w:val="28"/>
          <w:highlight w:val="none"/>
          <w:lang w:eastAsia="zh-CN"/>
        </w:rPr>
        <w:t>（</w:t>
      </w:r>
      <w:r>
        <w:rPr>
          <w:rFonts w:hint="eastAsia" w:ascii="仿宋" w:hAnsi="仿宋" w:eastAsia="仿宋" w:cs="仿宋"/>
          <w:color w:val="0000FF"/>
          <w:sz w:val="28"/>
          <w:szCs w:val="28"/>
          <w:highlight w:val="none"/>
          <w:lang w:val="en-US" w:eastAsia="zh-CN"/>
        </w:rPr>
        <w:t>1250kw/台，共1台</w:t>
      </w:r>
      <w:r>
        <w:rPr>
          <w:rFonts w:hint="eastAsia" w:ascii="仿宋" w:hAnsi="仿宋" w:eastAsia="仿宋" w:cs="仿宋"/>
          <w:color w:val="0000FF"/>
          <w:sz w:val="28"/>
          <w:szCs w:val="28"/>
          <w:highlight w:val="none"/>
          <w:lang w:eastAsia="zh-CN"/>
        </w:rPr>
        <w:t>）、</w:t>
      </w:r>
      <w:r>
        <w:rPr>
          <w:rFonts w:hint="eastAsia" w:ascii="仿宋" w:hAnsi="仿宋" w:eastAsia="仿宋" w:cs="仿宋"/>
          <w:color w:val="0000FF"/>
          <w:sz w:val="28"/>
          <w:szCs w:val="28"/>
          <w:highlight w:val="none"/>
        </w:rPr>
        <w:t>中医院#1</w:t>
      </w:r>
      <w:r>
        <w:rPr>
          <w:rFonts w:hint="eastAsia" w:ascii="仿宋" w:hAnsi="仿宋" w:eastAsia="仿宋" w:cs="仿宋"/>
          <w:color w:val="0000FF"/>
          <w:sz w:val="28"/>
          <w:szCs w:val="28"/>
          <w:highlight w:val="none"/>
          <w:lang w:val="en-US" w:eastAsia="zh-CN"/>
        </w:rPr>
        <w:t>#2</w:t>
      </w:r>
      <w:r>
        <w:rPr>
          <w:rFonts w:hint="eastAsia" w:ascii="仿宋" w:hAnsi="仿宋" w:eastAsia="仿宋" w:cs="仿宋"/>
          <w:color w:val="0000FF"/>
          <w:sz w:val="28"/>
          <w:szCs w:val="28"/>
          <w:highlight w:val="none"/>
        </w:rPr>
        <w:t>专用配电站10KV电缆起，至10KV中医#1、#2专用配电站各低压柜</w:t>
      </w:r>
      <w:r>
        <w:rPr>
          <w:rFonts w:hint="eastAsia" w:ascii="仿宋" w:hAnsi="仿宋" w:eastAsia="仿宋" w:cs="仿宋"/>
          <w:color w:val="0000FF"/>
          <w:sz w:val="28"/>
          <w:szCs w:val="28"/>
          <w:highlight w:val="none"/>
          <w:lang w:eastAsia="zh-CN"/>
        </w:rPr>
        <w:t>（</w:t>
      </w:r>
      <w:r>
        <w:rPr>
          <w:rFonts w:hint="eastAsia" w:ascii="仿宋" w:hAnsi="仿宋" w:eastAsia="仿宋" w:cs="仿宋"/>
          <w:color w:val="0000FF"/>
          <w:sz w:val="28"/>
          <w:szCs w:val="28"/>
          <w:highlight w:val="none"/>
          <w:lang w:val="en-US" w:eastAsia="zh-CN"/>
        </w:rPr>
        <w:t>630kw/台，共2台</w:t>
      </w:r>
      <w:r>
        <w:rPr>
          <w:rFonts w:hint="eastAsia" w:ascii="仿宋" w:hAnsi="仿宋" w:eastAsia="仿宋" w:cs="仿宋"/>
          <w:color w:val="0000FF"/>
          <w:sz w:val="28"/>
          <w:szCs w:val="28"/>
          <w:highlight w:val="none"/>
          <w:lang w:eastAsia="zh-CN"/>
        </w:rPr>
        <w:t>）</w:t>
      </w:r>
      <w:r>
        <w:rPr>
          <w:rFonts w:hint="eastAsia" w:ascii="仿宋" w:hAnsi="仿宋" w:eastAsia="仿宋" w:cs="仿宋"/>
          <w:color w:val="0000FF"/>
          <w:sz w:val="28"/>
          <w:szCs w:val="28"/>
          <w:highlight w:val="none"/>
        </w:rPr>
        <w:t>提供</w:t>
      </w:r>
      <w:r>
        <w:rPr>
          <w:rFonts w:hint="eastAsia" w:ascii="仿宋" w:hAnsi="仿宋" w:eastAsia="仿宋" w:cs="仿宋"/>
          <w:color w:val="0000FF"/>
          <w:sz w:val="28"/>
          <w:szCs w:val="28"/>
          <w:highlight w:val="none"/>
          <w:lang w:val="en-US" w:eastAsia="zh-CN"/>
        </w:rPr>
        <w:t>的定期维护、保养、检修及紧急故障处理等服务，确保医院整个供电配电房正常运作</w:t>
      </w:r>
      <w:r>
        <w:rPr>
          <w:rFonts w:hint="eastAsia" w:ascii="仿宋" w:hAnsi="仿宋" w:eastAsia="仿宋" w:cs="仿宋"/>
          <w:color w:val="0000FF"/>
          <w:sz w:val="28"/>
          <w:szCs w:val="28"/>
          <w:highlight w:val="none"/>
        </w:rPr>
        <w:t>。</w:t>
      </w:r>
      <w:bookmarkStart w:id="1" w:name="_GoBack"/>
      <w:bookmarkEnd w:id="1"/>
    </w:p>
    <w:p w14:paraId="23D9B0B0">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rPr>
        <w:t>总体要求</w:t>
      </w:r>
    </w:p>
    <w:bookmarkEnd w:id="0"/>
    <w:p w14:paraId="608C7FF3">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应严格按照必须严格执行有关行业标准内容对代维护的供电线路、设备提供服务。服务周期为：（1）配电室设备、配电变压器（箱式变）和线路，每月巡视检查一次；（2）每月巡查过程中根据其维护服务标准对线路设备的运行负荷高峰、汛期、低温等特殊情况（如有）进行重点巡视检查；（3）在重大活动前依照书面通知进行检查。</w:t>
      </w:r>
    </w:p>
    <w:p w14:paraId="2A3D4842">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2.成交供应商向采购人提供完整的月度巡视报告、年度运行报告、维护保养记录（含现场维护保养作业照片等）和相关设备维修资料，执业人员维护保养时应当认真如实填写维护保养记录，并由双方签名确认。</w:t>
      </w:r>
    </w:p>
    <w:p w14:paraId="0BBBB6E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3.成交供应商维护保养期间，必须遵守采购人的规章制度及安全环保等各项规定。成交供应商及其工作人员应保守在为采购人服务期间所获得的技术秘密、商业秘密等。</w:t>
      </w:r>
    </w:p>
    <w:p w14:paraId="0CD10463">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4.供应商为采购人提供服务期间，因维护保养工作所发生的施工人员事故及责任均由供应商负全部责任。</w:t>
      </w:r>
    </w:p>
    <w:p w14:paraId="0D11797D">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5.成交供应商为采购人提供对系统出现故障时，提供24小时的急修服务而不另外收费。</w:t>
      </w:r>
    </w:p>
    <w:p w14:paraId="2278276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维修过程中，如无须更换零部件，故障由供应商自行处理；如出现设备或零部件损坏，需要更换，所需零部件（常见设备/配件明细及最高限价详见附件1）费用按照成交价由采购人据实支付，若更换配件不在需求清单表内，成交供应商报维修方案及价格给采购人审核确认后进行维修处理。</w:t>
      </w:r>
    </w:p>
    <w:p w14:paraId="4084A544">
      <w:pPr>
        <w:pStyle w:val="5"/>
        <w:spacing w:line="360" w:lineRule="auto"/>
        <w:ind w:left="0" w:leftChars="0"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三、违约责任:</w:t>
      </w:r>
    </w:p>
    <w:p w14:paraId="6A057AE2">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由于成交供应商接到通知后未能及时对情况做出处理，而造成系统不能尽快恢复使用，每逾期一天，成交供应商应按100元/天向采购人支付违约金，采购人有权在维护保养费用中进行扣除;逾期超过3天的，采购人有权单方面终止本协议，相应责任由成交供应商承担。</w:t>
      </w:r>
    </w:p>
    <w:p w14:paraId="629729C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2.由于特殊情况(如雷雨天气等非成交供应商原因所致)，造成维护保养服务拖延或不能正常进行，采购人应按实际情况调整维护保养服务时间和内容，不计入违约之内。</w:t>
      </w:r>
    </w:p>
    <w:p w14:paraId="64BEE15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3.由于采购人未按时支付维保和配件费用，或未遵循协议中规定的条例，致使成交供应商无法正常进行维护保养工作，成交供应商将有权单方面终止本协议，相应责任由采购人承担。</w:t>
      </w:r>
    </w:p>
    <w:p w14:paraId="103F7533">
      <w:pPr>
        <w:pStyle w:val="5"/>
        <w:spacing w:line="360" w:lineRule="auto"/>
        <w:ind w:left="0" w:lef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4.在服务期间，采购人与成交供应商不得无故取消单方面无故申请终止本项目服务的，需向对方支付违约金，违约金为本项目全额服务费。</w:t>
      </w:r>
    </w:p>
    <w:p w14:paraId="0148D559">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四、付款结算</w:t>
      </w:r>
      <w:r>
        <w:rPr>
          <w:rFonts w:hint="eastAsia" w:ascii="仿宋" w:hAnsi="仿宋" w:eastAsia="仿宋" w:cs="仿宋"/>
          <w:b/>
          <w:bCs/>
          <w:color w:val="auto"/>
          <w:sz w:val="28"/>
          <w:szCs w:val="28"/>
          <w:highlight w:val="none"/>
          <w:lang w:val="en-US" w:eastAsia="zh-CN"/>
        </w:rPr>
        <w:t>：</w:t>
      </w:r>
    </w:p>
    <w:p w14:paraId="59BAA482">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按照约定每月进行不少于1次维修保养，所更换零件费用据实结算，经双方验收签名确认后，于每3个月的次月10日前将发票及其他报账资料提交给采购人申请付款，采购人收到发票等付款资料后在5个工作日内办理报账手续。如成交供应商逾期不提供发票，采购人有权顺延付款时间直至对方提供发票之日止。具体支付时间以财务科汇款时间为准。</w:t>
      </w:r>
    </w:p>
    <w:p w14:paraId="6DA87755">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2.付款方式：银行汇款。</w:t>
      </w:r>
    </w:p>
    <w:p w14:paraId="5FB057BD">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五、</w:t>
      </w:r>
      <w:r>
        <w:rPr>
          <w:rFonts w:hint="eastAsia" w:ascii="仿宋" w:hAnsi="仿宋" w:eastAsia="仿宋" w:cs="仿宋"/>
          <w:b/>
          <w:bCs/>
          <w:color w:val="auto"/>
          <w:sz w:val="28"/>
          <w:szCs w:val="28"/>
          <w:highlight w:val="none"/>
          <w:lang w:val="en-US" w:eastAsia="zh-CN"/>
        </w:rPr>
        <w:t>履约验收：</w:t>
      </w:r>
    </w:p>
    <w:p w14:paraId="53BF145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1.维修保养需双方现场查看、确认所有的设备设施均完好，正常运作，并在维保记录单上进行签名确认、验收。</w:t>
      </w:r>
    </w:p>
    <w:p w14:paraId="29304AE0">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人和供应商应共同查验更换设备或配件产品的合格证及产品的完好性，并签订签收表。如对查验的配件出现数量不符、缺损或与合同规定不相符等，即为查验不合格，采购人有权拒收货物；供应商应对查验不合格的产品进行无条件免费补齐、调换等，检测直至无疑义，因此而产生的一切费用（含额外的运输费用等）由供应商全部承担。</w:t>
      </w:r>
    </w:p>
    <w:p w14:paraId="3DB58076">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3.验货合格后，供应商应按照采购人要求完成设备安装、调测等工作。若供应商已满足本项目所有供货要求及伴随服务后，供应商可申请组织验收，验收合格后，双方签名确认验收书。</w:t>
      </w:r>
    </w:p>
    <w:p w14:paraId="10690C9B">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供货至现场时须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p>
    <w:p w14:paraId="1E1106DF">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p w14:paraId="5C24A551">
      <w:pPr>
        <w:widowControl/>
        <w:snapToGrid w:val="0"/>
        <w:spacing w:line="500" w:lineRule="exact"/>
        <w:rPr>
          <w:rFonts w:hint="default"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附件：1.广州市增城区中医医院供电维保配件清单</w:t>
      </w:r>
    </w:p>
    <w:p w14:paraId="7D788287">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0B3EC64">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790A86FA">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2B072EB">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137C9CB">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6C9FE8C4">
      <w:pPr>
        <w:widowControl/>
        <w:snapToGrid w:val="0"/>
        <w:spacing w:line="500" w:lineRule="exact"/>
        <w:rPr>
          <w:rFonts w:hint="eastAsia" w:ascii="黑体" w:hAnsi="黑体" w:eastAsia="黑体" w:cs="黑体"/>
          <w:color w:val="000000" w:themeColor="text1"/>
          <w:kern w:val="0"/>
          <w:sz w:val="28"/>
          <w:szCs w:val="28"/>
          <w:lang w:val="en-US" w:eastAsia="zh-CN"/>
          <w14:textFill>
            <w14:solidFill>
              <w14:schemeClr w14:val="tx1"/>
            </w14:solidFill>
          </w14:textFill>
        </w:rPr>
      </w:pPr>
      <w:r>
        <w:rPr>
          <w:rFonts w:hint="eastAsia" w:ascii="黑体" w:hAnsi="黑体" w:eastAsia="黑体" w:cs="黑体"/>
          <w:color w:val="000000" w:themeColor="text1"/>
          <w:kern w:val="0"/>
          <w:sz w:val="28"/>
          <w:szCs w:val="28"/>
          <w:lang w:val="en-US" w:eastAsia="zh-CN"/>
          <w14:textFill>
            <w14:solidFill>
              <w14:schemeClr w14:val="tx1"/>
            </w14:solidFill>
          </w14:textFill>
        </w:rPr>
        <w:t>附件1</w:t>
      </w:r>
    </w:p>
    <w:tbl>
      <w:tblPr>
        <w:tblStyle w:val="6"/>
        <w:tblW w:w="92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9"/>
        <w:gridCol w:w="1295"/>
        <w:gridCol w:w="2316"/>
        <w:gridCol w:w="950"/>
        <w:gridCol w:w="1351"/>
        <w:gridCol w:w="1316"/>
        <w:gridCol w:w="1463"/>
      </w:tblGrid>
      <w:tr w14:paraId="3C2BC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9" w:hRule="atLeast"/>
        </w:trPr>
        <w:tc>
          <w:tcPr>
            <w:tcW w:w="9260" w:type="dxa"/>
            <w:gridSpan w:val="7"/>
            <w:tcBorders>
              <w:top w:val="nil"/>
              <w:left w:val="nil"/>
              <w:bottom w:val="nil"/>
              <w:right w:val="nil"/>
            </w:tcBorders>
            <w:shd w:val="clear" w:color="auto" w:fill="auto"/>
            <w:vAlign w:val="center"/>
          </w:tcPr>
          <w:p w14:paraId="15B268CC">
            <w:pPr>
              <w:keepNext w:val="0"/>
              <w:keepLines w:val="0"/>
              <w:widowControl/>
              <w:suppressLineNumbers w:val="0"/>
              <w:ind w:firstLineChars="20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广州市增城区中医医院供电维保配件清单</w:t>
            </w:r>
          </w:p>
        </w:tc>
      </w:tr>
      <w:tr w14:paraId="0489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BB30">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序号</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722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名称</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CC54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型号/规格</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9A3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单位</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C658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最高单价</w:t>
            </w:r>
            <w:r>
              <w:rPr>
                <w:rFonts w:hint="eastAsia" w:ascii="仿宋_GB2312" w:hAnsi="宋体" w:eastAsia="仿宋_GB2312" w:cs="仿宋_GB2312"/>
                <w:i w:val="0"/>
                <w:iCs w:val="0"/>
                <w:color w:val="000000"/>
                <w:kern w:val="0"/>
                <w:sz w:val="21"/>
                <w:szCs w:val="21"/>
                <w:u w:val="none"/>
                <w:lang w:val="en-US" w:eastAsia="zh-CN" w:bidi="ar"/>
              </w:rPr>
              <w:t>限价</w:t>
            </w:r>
            <w:r>
              <w:rPr>
                <w:rFonts w:hint="default" w:ascii="仿宋_GB2312" w:hAnsi="宋体" w:eastAsia="仿宋_GB2312" w:cs="仿宋_GB2312"/>
                <w:i w:val="0"/>
                <w:iCs w:val="0"/>
                <w:color w:val="000000"/>
                <w:kern w:val="0"/>
                <w:sz w:val="21"/>
                <w:szCs w:val="21"/>
                <w:u w:val="none"/>
                <w:lang w:val="en-US" w:eastAsia="zh-CN" w:bidi="ar"/>
              </w:rPr>
              <w:t>（元）</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1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预估维修量</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2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预估维修费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（元）</w:t>
            </w:r>
          </w:p>
        </w:tc>
      </w:tr>
      <w:tr w14:paraId="3B50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nil"/>
              <w:left w:val="single" w:color="000000" w:sz="4" w:space="0"/>
              <w:bottom w:val="single" w:color="000000" w:sz="4" w:space="0"/>
              <w:right w:val="single" w:color="000000" w:sz="4" w:space="0"/>
            </w:tcBorders>
            <w:shd w:val="clear" w:color="auto" w:fill="auto"/>
            <w:vAlign w:val="center"/>
          </w:tcPr>
          <w:p w14:paraId="4F7AD53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w:t>
            </w:r>
          </w:p>
        </w:tc>
        <w:tc>
          <w:tcPr>
            <w:tcW w:w="1295" w:type="dxa"/>
            <w:tcBorders>
              <w:top w:val="nil"/>
              <w:left w:val="single" w:color="000000" w:sz="4" w:space="0"/>
              <w:bottom w:val="single" w:color="000000" w:sz="4" w:space="0"/>
              <w:right w:val="single" w:color="000000" w:sz="4" w:space="0"/>
            </w:tcBorders>
            <w:shd w:val="clear" w:color="auto" w:fill="auto"/>
            <w:vAlign w:val="center"/>
          </w:tcPr>
          <w:p w14:paraId="0D5F49B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双投刀开关</w:t>
            </w:r>
          </w:p>
        </w:tc>
        <w:tc>
          <w:tcPr>
            <w:tcW w:w="2316" w:type="dxa"/>
            <w:tcBorders>
              <w:top w:val="nil"/>
              <w:left w:val="single" w:color="000000" w:sz="4" w:space="0"/>
              <w:bottom w:val="single" w:color="000000" w:sz="4" w:space="0"/>
              <w:right w:val="single" w:color="000000" w:sz="4" w:space="0"/>
            </w:tcBorders>
            <w:shd w:val="clear" w:color="auto" w:fill="auto"/>
            <w:vAlign w:val="center"/>
          </w:tcPr>
          <w:p w14:paraId="53F377A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HS13BX-600/41</w:t>
            </w:r>
          </w:p>
        </w:tc>
        <w:tc>
          <w:tcPr>
            <w:tcW w:w="950" w:type="dxa"/>
            <w:tcBorders>
              <w:top w:val="nil"/>
              <w:left w:val="single" w:color="000000" w:sz="4" w:space="0"/>
              <w:bottom w:val="single" w:color="000000" w:sz="4" w:space="0"/>
              <w:right w:val="single" w:color="000000" w:sz="4" w:space="0"/>
            </w:tcBorders>
            <w:shd w:val="clear" w:color="auto" w:fill="auto"/>
            <w:vAlign w:val="center"/>
          </w:tcPr>
          <w:p w14:paraId="5B460F8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nil"/>
              <w:left w:val="single" w:color="000000" w:sz="4" w:space="0"/>
              <w:bottom w:val="single" w:color="000000" w:sz="4" w:space="0"/>
              <w:right w:val="single" w:color="000000" w:sz="4" w:space="0"/>
            </w:tcBorders>
            <w:shd w:val="clear" w:color="auto" w:fill="auto"/>
            <w:vAlign w:val="center"/>
          </w:tcPr>
          <w:p w14:paraId="4C29A95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1900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35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1F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5700</w:t>
            </w:r>
          </w:p>
        </w:tc>
      </w:tr>
      <w:tr w14:paraId="2F54A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412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B412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单投刀开关</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A2A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HD13BX-600/31</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1989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0B5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1600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7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C4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4800</w:t>
            </w:r>
          </w:p>
        </w:tc>
      </w:tr>
      <w:tr w14:paraId="49EC0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89C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26F6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刀熔开关</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4BF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Style w:val="11"/>
                <w:rFonts w:hAnsi="宋体"/>
                <w:lang w:val="en-US" w:eastAsia="zh-CN" w:bidi="ar"/>
              </w:rPr>
              <w:t>HH15(QSA)-250A  NT=250A</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AAC3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8865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1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D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w:t>
            </w:r>
          </w:p>
        </w:tc>
      </w:tr>
      <w:tr w14:paraId="1EC47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62CF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DD8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补偿控制器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F97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JKWF-20D 开孔138*138，液晶屏</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BD9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BAE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0A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E8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3750</w:t>
            </w:r>
          </w:p>
        </w:tc>
      </w:tr>
      <w:tr w14:paraId="79BD1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249E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D31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复合开关-分补</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CBD8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ZMFK-0.23/3x10F</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AB8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273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980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E9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0B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2940</w:t>
            </w:r>
          </w:p>
        </w:tc>
      </w:tr>
      <w:tr w14:paraId="0166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EA5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6</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0636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复合开关-共补</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E56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ZMFK-0.4/30G</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6F7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05E7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880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07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98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2640</w:t>
            </w:r>
          </w:p>
        </w:tc>
      </w:tr>
      <w:tr w14:paraId="51035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2E5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7</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32B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电容器-分补</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F0E0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BKMJ0.25-15-3YN</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FEC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0F5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65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26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1350</w:t>
            </w:r>
          </w:p>
        </w:tc>
      </w:tr>
      <w:tr w14:paraId="6AB96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2726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B2E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电容器-共补</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F6A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BKMJ0.45-15-3</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5D1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CE8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330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E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CD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1650</w:t>
            </w:r>
          </w:p>
        </w:tc>
      </w:tr>
      <w:tr w14:paraId="3272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710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C3E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一次熔断器插拔器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A06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NT00-100/3P 配套使用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E92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CE4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6F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7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r>
      <w:tr w14:paraId="5E3FB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D1E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0963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电涌保护器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EB6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PXMB-15/4P(10/350us)</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96A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44C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2E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F6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2550</w:t>
            </w:r>
          </w:p>
        </w:tc>
      </w:tr>
      <w:tr w14:paraId="1866F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7EF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4088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电涌保护器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A85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PXM-40/4P(8/20us)</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6947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A79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E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72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r>
      <w:tr w14:paraId="29915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24F7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745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电流互感器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11D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Style w:val="11"/>
                <w:rFonts w:hAnsi="宋体"/>
                <w:lang w:val="en-US" w:eastAsia="zh-CN" w:bidi="ar"/>
              </w:rPr>
              <w:t>BH-0.66 IIφ52*35 500/5A 0.5级  1匝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CA8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3A8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5D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4F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r>
      <w:tr w14:paraId="5590F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5D8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13</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949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电流互感器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53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BH-0.66 Iφ30 400/5A 0.5级 1匝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BDB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798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222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EF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r>
      <w:tr w14:paraId="046BB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42A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14</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745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电流互感器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605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BH-0.66 Iφ30 250/5A 0.5级 1匝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DDD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13BB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896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9E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r>
      <w:tr w14:paraId="4ED84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1D51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C806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温度控制器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5CF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Style w:val="11"/>
                <w:rFonts w:hAnsi="宋体"/>
                <w:lang w:val="en-US" w:eastAsia="zh-CN" w:bidi="ar"/>
              </w:rPr>
              <w:t>固定式 WK-TH  开孔尺寸45*45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47AE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CFE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340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D4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94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w:t>
            </w:r>
          </w:p>
        </w:tc>
      </w:tr>
      <w:tr w14:paraId="7C0DB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774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16</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069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计量接线盒</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B60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Style w:val="11"/>
                <w:rFonts w:hAnsi="宋体"/>
                <w:lang w:val="en-US" w:eastAsia="zh-CN" w:bidi="ar"/>
              </w:rPr>
              <w:t>DFY-02  电压1进1出 透明型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45D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F1B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340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D25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21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w:t>
            </w:r>
          </w:p>
        </w:tc>
      </w:tr>
      <w:tr w14:paraId="04EC2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13B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17</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2C2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计量接线盒</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08D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Style w:val="11"/>
                <w:rFonts w:hAnsi="宋体"/>
                <w:lang w:val="en-US" w:eastAsia="zh-CN" w:bidi="ar"/>
              </w:rPr>
              <w:t>DFY-05  电压1进2出 透明型</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EDFD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6C1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340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703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5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1020</w:t>
            </w:r>
          </w:p>
        </w:tc>
      </w:tr>
      <w:tr w14:paraId="18F2C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182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18</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8E6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桥架300</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3A9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300*200*1.0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896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米</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06E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290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A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8D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w:t>
            </w:r>
          </w:p>
        </w:tc>
      </w:tr>
      <w:tr w14:paraId="2FEC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6DB4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19</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219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桥架300</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211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600*200*1.0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75A1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米</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5AD5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320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8AC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2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9600</w:t>
            </w:r>
          </w:p>
        </w:tc>
      </w:tr>
      <w:tr w14:paraId="2E16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610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20</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D7F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三极交流接触器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BB1E">
            <w:pPr>
              <w:jc w:val="center"/>
              <w:rPr>
                <w:rFonts w:hint="default" w:ascii="仿宋_GB2312" w:hAnsi="宋体" w:eastAsia="仿宋_GB2312" w:cs="仿宋_GB2312"/>
                <w:i w:val="0"/>
                <w:iCs w:val="0"/>
                <w:color w:val="000000"/>
                <w:sz w:val="21"/>
                <w:szCs w:val="21"/>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1930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台</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A569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8F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0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r>
      <w:tr w14:paraId="5A424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728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21</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050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多功能电力仪表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2D80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DZ81-MEDH5C</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322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F67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7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4BF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r>
      <w:tr w14:paraId="2E3BA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8C3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22</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0AB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三相智能电力仪表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4F3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DZ81-MS315C</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5DE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E8B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1500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A8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5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r>
      <w:tr w14:paraId="7EA13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398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23</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2E8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三相智能电力仪表</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722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DZ81-MK9C-E</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277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EED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1650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91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1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6600</w:t>
            </w:r>
          </w:p>
        </w:tc>
      </w:tr>
      <w:tr w14:paraId="476B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7F86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24</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97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绝缘手套</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F21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10kv</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B01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套</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91E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290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2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5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1160</w:t>
            </w:r>
          </w:p>
        </w:tc>
      </w:tr>
      <w:tr w14:paraId="7A5B9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429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25</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2BEE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绝缘鞋</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FC6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10kv</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C59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套</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046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330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C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4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1650</w:t>
            </w:r>
          </w:p>
        </w:tc>
      </w:tr>
      <w:tr w14:paraId="400CC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82F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26</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461F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验电笔</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82F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400a-630a</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DF93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支</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748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B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E2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4200</w:t>
            </w:r>
          </w:p>
        </w:tc>
      </w:tr>
      <w:tr w14:paraId="7EE57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A05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27</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57B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动插件</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CF53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400a-630a</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5C0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A66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3D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44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4250</w:t>
            </w:r>
          </w:p>
        </w:tc>
      </w:tr>
      <w:tr w14:paraId="0EF08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779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28</w:t>
            </w:r>
          </w:p>
        </w:tc>
        <w:tc>
          <w:tcPr>
            <w:tcW w:w="12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5E8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静插件</w:t>
            </w:r>
          </w:p>
        </w:tc>
        <w:tc>
          <w:tcPr>
            <w:tcW w:w="2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375A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400a-630a</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E44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16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850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25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646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3400</w:t>
            </w:r>
          </w:p>
        </w:tc>
      </w:tr>
      <w:tr w14:paraId="5705C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569" w:type="dxa"/>
            <w:tcBorders>
              <w:top w:val="single" w:color="000000" w:sz="4" w:space="0"/>
              <w:left w:val="single" w:color="000000" w:sz="4" w:space="0"/>
              <w:bottom w:val="nil"/>
              <w:right w:val="single" w:color="000000" w:sz="4" w:space="0"/>
            </w:tcBorders>
            <w:shd w:val="clear" w:color="auto" w:fill="auto"/>
            <w:vAlign w:val="center"/>
          </w:tcPr>
          <w:p w14:paraId="6155E49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29</w:t>
            </w:r>
          </w:p>
        </w:tc>
        <w:tc>
          <w:tcPr>
            <w:tcW w:w="1295" w:type="dxa"/>
            <w:tcBorders>
              <w:top w:val="single" w:color="000000" w:sz="4" w:space="0"/>
              <w:left w:val="single" w:color="000000" w:sz="4" w:space="0"/>
              <w:bottom w:val="nil"/>
              <w:right w:val="single" w:color="000000" w:sz="4" w:space="0"/>
            </w:tcBorders>
            <w:shd w:val="clear" w:color="auto" w:fill="auto"/>
            <w:vAlign w:val="center"/>
          </w:tcPr>
          <w:p w14:paraId="691D672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操作门手柄</w:t>
            </w:r>
          </w:p>
        </w:tc>
        <w:tc>
          <w:tcPr>
            <w:tcW w:w="2316" w:type="dxa"/>
            <w:tcBorders>
              <w:top w:val="single" w:color="000000" w:sz="4" w:space="0"/>
              <w:left w:val="single" w:color="000000" w:sz="4" w:space="0"/>
              <w:bottom w:val="nil"/>
              <w:right w:val="single" w:color="000000" w:sz="4" w:space="0"/>
            </w:tcBorders>
            <w:shd w:val="clear" w:color="auto" w:fill="auto"/>
            <w:vAlign w:val="center"/>
          </w:tcPr>
          <w:p w14:paraId="1A5C090C">
            <w:pPr>
              <w:jc w:val="center"/>
              <w:rPr>
                <w:rFonts w:hint="default" w:ascii="仿宋_GB2312" w:hAnsi="宋体" w:eastAsia="仿宋_GB2312" w:cs="仿宋_GB2312"/>
                <w:i w:val="0"/>
                <w:iCs w:val="0"/>
                <w:color w:val="000000"/>
                <w:sz w:val="21"/>
                <w:szCs w:val="21"/>
                <w:u w:val="none"/>
              </w:rPr>
            </w:pPr>
          </w:p>
        </w:tc>
        <w:tc>
          <w:tcPr>
            <w:tcW w:w="950" w:type="dxa"/>
            <w:tcBorders>
              <w:top w:val="single" w:color="000000" w:sz="4" w:space="0"/>
              <w:left w:val="single" w:color="000000" w:sz="4" w:space="0"/>
              <w:bottom w:val="nil"/>
              <w:right w:val="single" w:color="000000" w:sz="4" w:space="0"/>
            </w:tcBorders>
            <w:shd w:val="clear" w:color="auto" w:fill="auto"/>
            <w:vAlign w:val="center"/>
          </w:tcPr>
          <w:p w14:paraId="4ECDD6B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只</w:t>
            </w:r>
          </w:p>
        </w:tc>
        <w:tc>
          <w:tcPr>
            <w:tcW w:w="1351" w:type="dxa"/>
            <w:tcBorders>
              <w:top w:val="single" w:color="000000" w:sz="4" w:space="0"/>
              <w:left w:val="single" w:color="000000" w:sz="4" w:space="0"/>
              <w:bottom w:val="nil"/>
              <w:right w:val="single" w:color="000000" w:sz="4" w:space="0"/>
            </w:tcBorders>
            <w:shd w:val="clear" w:color="auto" w:fill="auto"/>
            <w:vAlign w:val="center"/>
          </w:tcPr>
          <w:p w14:paraId="143CA80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2B8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B9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r>
      <w:tr w14:paraId="18EF2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00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5DCA">
            <w:pPr>
              <w:rPr>
                <w:rFonts w:hint="eastAsia" w:ascii="宋体" w:hAnsi="宋体" w:eastAsia="宋体" w:cs="宋体"/>
                <w:i w:val="0"/>
                <w:iCs w:val="0"/>
                <w:color w:val="000000"/>
                <w:sz w:val="22"/>
                <w:szCs w:val="22"/>
                <w:u w:val="none"/>
              </w:rPr>
            </w:pPr>
          </w:p>
        </w:tc>
        <w:tc>
          <w:tcPr>
            <w:tcW w:w="1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CB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100000</w:t>
            </w:r>
          </w:p>
        </w:tc>
      </w:tr>
    </w:tbl>
    <w:p w14:paraId="69EF5D30">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sectPr>
      <w:pgSz w:w="11906" w:h="16838"/>
      <w:pgMar w:top="2154" w:right="1417"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22B4605"/>
    <w:rsid w:val="032C133D"/>
    <w:rsid w:val="046F0741"/>
    <w:rsid w:val="04754611"/>
    <w:rsid w:val="04C11A36"/>
    <w:rsid w:val="051200B1"/>
    <w:rsid w:val="077225CA"/>
    <w:rsid w:val="081D7FAD"/>
    <w:rsid w:val="08E14C87"/>
    <w:rsid w:val="0923288D"/>
    <w:rsid w:val="09595ECA"/>
    <w:rsid w:val="0C5302F4"/>
    <w:rsid w:val="0E4C3D34"/>
    <w:rsid w:val="126B7053"/>
    <w:rsid w:val="14AF7E3E"/>
    <w:rsid w:val="15700E7D"/>
    <w:rsid w:val="167D7A8F"/>
    <w:rsid w:val="16A768EE"/>
    <w:rsid w:val="16CA2879"/>
    <w:rsid w:val="18AC735C"/>
    <w:rsid w:val="19D460B4"/>
    <w:rsid w:val="1AE31FB1"/>
    <w:rsid w:val="1C6F57FD"/>
    <w:rsid w:val="1DDA67DC"/>
    <w:rsid w:val="20F800D5"/>
    <w:rsid w:val="2165654C"/>
    <w:rsid w:val="217E2916"/>
    <w:rsid w:val="21BA2713"/>
    <w:rsid w:val="229E75EF"/>
    <w:rsid w:val="23001437"/>
    <w:rsid w:val="2383244E"/>
    <w:rsid w:val="248A28F6"/>
    <w:rsid w:val="25AB6D16"/>
    <w:rsid w:val="26012649"/>
    <w:rsid w:val="26B15A50"/>
    <w:rsid w:val="294A30C6"/>
    <w:rsid w:val="29D0222B"/>
    <w:rsid w:val="2A0B0A59"/>
    <w:rsid w:val="2AD7341A"/>
    <w:rsid w:val="2F234AE5"/>
    <w:rsid w:val="2FAC4ADB"/>
    <w:rsid w:val="30CB71E3"/>
    <w:rsid w:val="31980F37"/>
    <w:rsid w:val="32771C24"/>
    <w:rsid w:val="32DF08CA"/>
    <w:rsid w:val="36032F7B"/>
    <w:rsid w:val="38042FDA"/>
    <w:rsid w:val="381A30F5"/>
    <w:rsid w:val="38BA597C"/>
    <w:rsid w:val="39040FCC"/>
    <w:rsid w:val="39A11954"/>
    <w:rsid w:val="39D168F7"/>
    <w:rsid w:val="3A197D7F"/>
    <w:rsid w:val="3A723E45"/>
    <w:rsid w:val="3C551654"/>
    <w:rsid w:val="3C7921E9"/>
    <w:rsid w:val="3E261EFC"/>
    <w:rsid w:val="3E684DAF"/>
    <w:rsid w:val="3FFD6357"/>
    <w:rsid w:val="406C6A1A"/>
    <w:rsid w:val="407F58F4"/>
    <w:rsid w:val="408676AE"/>
    <w:rsid w:val="40AB66E9"/>
    <w:rsid w:val="41D4668F"/>
    <w:rsid w:val="45D8560C"/>
    <w:rsid w:val="46ED78E8"/>
    <w:rsid w:val="470D4579"/>
    <w:rsid w:val="47E30E5E"/>
    <w:rsid w:val="488A3050"/>
    <w:rsid w:val="48D12A65"/>
    <w:rsid w:val="49F222FC"/>
    <w:rsid w:val="4A6D1F6A"/>
    <w:rsid w:val="4B86013F"/>
    <w:rsid w:val="4BE16314"/>
    <w:rsid w:val="4BF9042F"/>
    <w:rsid w:val="4C2757BD"/>
    <w:rsid w:val="4D61265D"/>
    <w:rsid w:val="4D87403A"/>
    <w:rsid w:val="4EA17C8F"/>
    <w:rsid w:val="4F74239C"/>
    <w:rsid w:val="50C23D07"/>
    <w:rsid w:val="51844B18"/>
    <w:rsid w:val="52115A6E"/>
    <w:rsid w:val="52884ADC"/>
    <w:rsid w:val="5308373B"/>
    <w:rsid w:val="537A08C9"/>
    <w:rsid w:val="53E7163F"/>
    <w:rsid w:val="54A54ECD"/>
    <w:rsid w:val="56486A5C"/>
    <w:rsid w:val="577011B2"/>
    <w:rsid w:val="58892D72"/>
    <w:rsid w:val="58A42861"/>
    <w:rsid w:val="5A7B23C7"/>
    <w:rsid w:val="5C3D0FC7"/>
    <w:rsid w:val="5CF728BA"/>
    <w:rsid w:val="5EB50A07"/>
    <w:rsid w:val="5EC06CB8"/>
    <w:rsid w:val="5FED1580"/>
    <w:rsid w:val="604A1598"/>
    <w:rsid w:val="61A87044"/>
    <w:rsid w:val="62372EFA"/>
    <w:rsid w:val="630E06E5"/>
    <w:rsid w:val="65717652"/>
    <w:rsid w:val="66150632"/>
    <w:rsid w:val="6695034D"/>
    <w:rsid w:val="686422A5"/>
    <w:rsid w:val="68F6059A"/>
    <w:rsid w:val="692049A2"/>
    <w:rsid w:val="69EA37A4"/>
    <w:rsid w:val="6A061712"/>
    <w:rsid w:val="6A59721F"/>
    <w:rsid w:val="6A6460E9"/>
    <w:rsid w:val="6BF50D8B"/>
    <w:rsid w:val="6BFB5E69"/>
    <w:rsid w:val="6CEA7F79"/>
    <w:rsid w:val="6D653AB8"/>
    <w:rsid w:val="714158BE"/>
    <w:rsid w:val="731D7A00"/>
    <w:rsid w:val="73417B9C"/>
    <w:rsid w:val="73CD7126"/>
    <w:rsid w:val="73DA0835"/>
    <w:rsid w:val="74F11C15"/>
    <w:rsid w:val="75166F20"/>
    <w:rsid w:val="761B517A"/>
    <w:rsid w:val="790A599B"/>
    <w:rsid w:val="7A7E3F4B"/>
    <w:rsid w:val="7DB83C18"/>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570"/>
    </w:pPr>
    <w:rPr>
      <w:rFonts w:hint="eastAsia" w:ascii="宋体" w:hAnsi="宋体"/>
      <w:sz w:val="28"/>
      <w:szCs w:val="20"/>
    </w:rPr>
  </w:style>
  <w:style w:type="paragraph" w:styleId="4">
    <w:name w:val="Normal (Web)"/>
    <w:basedOn w:val="1"/>
    <w:qFormat/>
    <w:uiPriority w:val="0"/>
    <w:rPr>
      <w:sz w:val="24"/>
    </w:rPr>
  </w:style>
  <w:style w:type="paragraph" w:styleId="5">
    <w:name w:val="Body Text First Indent 2"/>
    <w:basedOn w:val="3"/>
    <w:qFormat/>
    <w:uiPriority w:val="0"/>
    <w:pPr>
      <w:ind w:firstLine="420" w:firstLineChars="200"/>
    </w:pPr>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qFormat/>
    <w:uiPriority w:val="0"/>
    <w:rPr>
      <w:rFonts w:hint="eastAsia" w:ascii="Calibri" w:hAnsi="Calibri" w:eastAsia="宋体" w:cs="Times New Roman"/>
      <w:lang w:val="en-US" w:eastAsia="zh-Hans"/>
    </w:rPr>
  </w:style>
  <w:style w:type="character" w:customStyle="1" w:styleId="10">
    <w:name w:val="font01"/>
    <w:basedOn w:val="8"/>
    <w:qFormat/>
    <w:uiPriority w:val="0"/>
    <w:rPr>
      <w:rFonts w:hint="eastAsia" w:ascii="宋体" w:hAnsi="宋体" w:eastAsia="宋体" w:cs="宋体"/>
      <w:color w:val="000000"/>
      <w:sz w:val="22"/>
      <w:szCs w:val="22"/>
      <w:u w:val="none"/>
    </w:rPr>
  </w:style>
  <w:style w:type="character" w:customStyle="1" w:styleId="11">
    <w:name w:val="font21"/>
    <w:basedOn w:val="8"/>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2299</Words>
  <Characters>2863</Characters>
  <Lines>0</Lines>
  <Paragraphs>0</Paragraphs>
  <TotalTime>0</TotalTime>
  <ScaleCrop>false</ScaleCrop>
  <LinksUpToDate>false</LinksUpToDate>
  <CharactersWithSpaces>2889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赵敏</cp:lastModifiedBy>
  <dcterms:modified xsi:type="dcterms:W3CDTF">2025-09-28T02:50:37Z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DD11E74A6A8643B090249CF9B3A32DFB_13</vt:lpwstr>
  </property>
  <property fmtid="{D5CDD505-2E9C-101B-9397-08002B2CF9AE}" pid="4" name="KSOTemplateDocerSaveRecord">
    <vt:lpwstr>eyJoZGlkIjoiZDdiZDM3NWJlMmIxMmFkODg1ZTllOTIyOTQ1ZTg2YzEiLCJ1c2VySWQiOiI3MzAzNTgyNTIifQ==</vt:lpwstr>
  </property>
</Properties>
</file>