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66F51A">
      <w:pPr>
        <w:pStyle w:val="2"/>
        <w:keepNext/>
        <w:keepLines/>
        <w:pageBreakBefore w:val="0"/>
        <w:widowControl w:val="0"/>
        <w:kinsoku/>
        <w:wordWrap/>
        <w:overflowPunct/>
        <w:topLinePunct w:val="0"/>
        <w:autoSpaceDE/>
        <w:autoSpaceDN/>
        <w:bidi w:val="0"/>
        <w:adjustRightInd w:val="0"/>
        <w:snapToGrid w:val="0"/>
        <w:spacing w:before="0" w:after="157" w:afterLines="50" w:line="360" w:lineRule="auto"/>
        <w:jc w:val="center"/>
        <w:textAlignment w:val="auto"/>
        <w:rPr>
          <w:rFonts w:hint="eastAsia" w:ascii="宋体" w:hAnsi="宋体" w:eastAsia="宋体" w:cs="宋体"/>
          <w:bCs/>
          <w:color w:val="auto"/>
          <w:sz w:val="36"/>
          <w:szCs w:val="36"/>
          <w:highlight w:val="none"/>
        </w:rPr>
      </w:pPr>
      <w:r>
        <w:rPr>
          <w:rFonts w:hint="eastAsia" w:ascii="宋体" w:hAnsi="宋体" w:eastAsia="宋体" w:cs="宋体"/>
          <w:bCs/>
          <w:color w:val="auto"/>
          <w:sz w:val="36"/>
          <w:szCs w:val="36"/>
          <w:highlight w:val="none"/>
          <w:lang w:val="en-US" w:eastAsia="zh-CN"/>
        </w:rPr>
        <w:t>报价</w:t>
      </w:r>
      <w:r>
        <w:rPr>
          <w:rFonts w:hint="eastAsia" w:ascii="宋体" w:hAnsi="宋体" w:eastAsia="宋体" w:cs="宋体"/>
          <w:bCs/>
          <w:color w:val="auto"/>
          <w:sz w:val="36"/>
          <w:szCs w:val="36"/>
          <w:highlight w:val="none"/>
        </w:rPr>
        <w:t>表</w:t>
      </w:r>
    </w:p>
    <w:p w14:paraId="2363647F">
      <w:pPr>
        <w:keepNext w:val="0"/>
        <w:keepLines w:val="0"/>
        <w:pageBreakBefore w:val="0"/>
        <w:widowControl w:val="0"/>
        <w:kinsoku/>
        <w:wordWrap/>
        <w:overflowPunct/>
        <w:topLinePunct w:val="0"/>
        <w:autoSpaceDE/>
        <w:autoSpaceDN/>
        <w:bidi w:val="0"/>
        <w:adjustRightInd/>
        <w:snapToGrid/>
        <w:spacing w:line="360" w:lineRule="auto"/>
        <w:ind w:firstLine="436" w:firstLineChars="200"/>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项目名称： </w:t>
      </w:r>
    </w:p>
    <w:p w14:paraId="7812917A">
      <w:pPr>
        <w:keepNext w:val="0"/>
        <w:keepLines w:val="0"/>
        <w:pageBreakBefore w:val="0"/>
        <w:widowControl w:val="0"/>
        <w:kinsoku/>
        <w:wordWrap/>
        <w:overflowPunct/>
        <w:topLinePunct w:val="0"/>
        <w:autoSpaceDE/>
        <w:autoSpaceDN/>
        <w:bidi w:val="0"/>
        <w:adjustRightInd/>
        <w:snapToGrid/>
        <w:spacing w:line="360" w:lineRule="auto"/>
        <w:ind w:firstLine="436" w:firstLineChars="200"/>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lang w:eastAsia="zh-CN"/>
        </w:rPr>
        <w:t>供应商</w:t>
      </w:r>
      <w:r>
        <w:rPr>
          <w:rFonts w:hint="eastAsia" w:ascii="宋体" w:hAnsi="宋体" w:eastAsia="宋体" w:cs="宋体"/>
          <w:color w:val="auto"/>
          <w:spacing w:val="4"/>
          <w:sz w:val="21"/>
          <w:szCs w:val="21"/>
          <w:highlight w:val="none"/>
        </w:rPr>
        <w:t>名称：</w:t>
      </w:r>
    </w:p>
    <w:tbl>
      <w:tblPr>
        <w:tblStyle w:val="3"/>
        <w:tblW w:w="505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860"/>
        <w:gridCol w:w="2374"/>
        <w:gridCol w:w="1132"/>
        <w:gridCol w:w="1090"/>
        <w:gridCol w:w="2279"/>
        <w:gridCol w:w="2133"/>
      </w:tblGrid>
      <w:tr w14:paraId="0B9B0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65" w:hRule="atLeast"/>
          <w:jc w:val="center"/>
        </w:trPr>
        <w:tc>
          <w:tcPr>
            <w:tcW w:w="436" w:type="pct"/>
            <w:noWrap w:val="0"/>
            <w:vAlign w:val="center"/>
          </w:tcPr>
          <w:p w14:paraId="03663EB8">
            <w:pPr>
              <w:widowControl w:val="0"/>
              <w:spacing w:line="336" w:lineRule="auto"/>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序号</w:t>
            </w:r>
          </w:p>
        </w:tc>
        <w:tc>
          <w:tcPr>
            <w:tcW w:w="1202" w:type="pct"/>
            <w:noWrap w:val="0"/>
            <w:vAlign w:val="center"/>
          </w:tcPr>
          <w:p w14:paraId="33EAE191">
            <w:pPr>
              <w:widowControl w:val="0"/>
              <w:spacing w:line="336" w:lineRule="auto"/>
              <w:jc w:val="center"/>
              <w:rPr>
                <w:rFonts w:hint="eastAsia" w:ascii="宋体" w:hAnsi="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采购内容</w:t>
            </w:r>
          </w:p>
        </w:tc>
        <w:tc>
          <w:tcPr>
            <w:tcW w:w="573" w:type="pct"/>
            <w:noWrap w:val="0"/>
            <w:vAlign w:val="center"/>
          </w:tcPr>
          <w:p w14:paraId="02466858">
            <w:pPr>
              <w:widowControl w:val="0"/>
              <w:spacing w:line="336" w:lineRule="auto"/>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数量</w:t>
            </w:r>
          </w:p>
        </w:tc>
        <w:tc>
          <w:tcPr>
            <w:tcW w:w="552" w:type="pct"/>
            <w:shd w:val="clear" w:color="auto" w:fill="auto"/>
            <w:noWrap w:val="0"/>
            <w:vAlign w:val="center"/>
          </w:tcPr>
          <w:p w14:paraId="380C9431">
            <w:pPr>
              <w:widowControl/>
              <w:jc w:val="center"/>
              <w:rPr>
                <w:rFonts w:hint="eastAsia" w:ascii="宋体" w:hAnsi="宋体" w:eastAsia="宋体" w:cs="宋体"/>
                <w:color w:val="000000" w:themeColor="text1"/>
                <w:kern w:val="0"/>
                <w:sz w:val="21"/>
                <w:szCs w:val="21"/>
                <w:lang w:val="zh-CN" w:eastAsia="zh-CN" w:bidi="ar-SA"/>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单位</w:t>
            </w:r>
          </w:p>
        </w:tc>
        <w:tc>
          <w:tcPr>
            <w:tcW w:w="1154" w:type="pct"/>
            <w:shd w:val="clear" w:color="auto" w:fill="auto"/>
            <w:noWrap w:val="0"/>
            <w:vAlign w:val="center"/>
          </w:tcPr>
          <w:p w14:paraId="6A821D61">
            <w:pPr>
              <w:widowControl w:val="0"/>
              <w:spacing w:line="336" w:lineRule="auto"/>
              <w:jc w:val="center"/>
              <w:rPr>
                <w:rFonts w:hint="eastAsia" w:ascii="宋体" w:hAnsi="宋体" w:eastAsia="宋体" w:cs="Times New Roman"/>
                <w:color w:val="000000" w:themeColor="text1"/>
                <w:kern w:val="2"/>
                <w:sz w:val="21"/>
                <w:szCs w:val="21"/>
                <w:lang w:val="zh-CN" w:eastAsia="zh-CN" w:bidi="ar-SA"/>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投标报价</w:t>
            </w:r>
            <w:r>
              <w:rPr>
                <w:rFonts w:hint="eastAsia" w:ascii="宋体" w:hAnsi="宋体" w:cs="宋体"/>
                <w:color w:val="000000" w:themeColor="text1"/>
                <w:szCs w:val="21"/>
                <w:lang w:val="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元</w:t>
            </w:r>
            <w:r>
              <w:rPr>
                <w:rFonts w:hint="eastAsia" w:ascii="宋体" w:hAnsi="宋体" w:cs="宋体"/>
                <w:color w:val="000000" w:themeColor="text1"/>
                <w:szCs w:val="21"/>
                <w:lang w:val="zh-CN"/>
                <w14:textFill>
                  <w14:solidFill>
                    <w14:schemeClr w14:val="tx1"/>
                  </w14:solidFill>
                </w14:textFill>
              </w:rPr>
              <w:t>）</w:t>
            </w:r>
          </w:p>
        </w:tc>
        <w:tc>
          <w:tcPr>
            <w:tcW w:w="1080" w:type="pct"/>
            <w:shd w:val="clear" w:color="auto" w:fill="auto"/>
            <w:noWrap w:val="0"/>
            <w:vAlign w:val="center"/>
          </w:tcPr>
          <w:p w14:paraId="5648DC7C">
            <w:pPr>
              <w:widowControl w:val="0"/>
              <w:spacing w:line="336" w:lineRule="auto"/>
              <w:jc w:val="center"/>
              <w:rPr>
                <w:rFonts w:hint="default"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备注</w:t>
            </w:r>
          </w:p>
        </w:tc>
      </w:tr>
      <w:tr w14:paraId="6CB18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6" w:hRule="atLeast"/>
          <w:jc w:val="center"/>
        </w:trPr>
        <w:tc>
          <w:tcPr>
            <w:tcW w:w="436" w:type="pct"/>
            <w:noWrap w:val="0"/>
            <w:vAlign w:val="center"/>
          </w:tcPr>
          <w:p w14:paraId="25FE01F6">
            <w:pPr>
              <w:widowControl w:val="0"/>
              <w:spacing w:line="336" w:lineRule="auto"/>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1</w:t>
            </w:r>
          </w:p>
        </w:tc>
        <w:tc>
          <w:tcPr>
            <w:tcW w:w="1202" w:type="pct"/>
            <w:noWrap w:val="0"/>
            <w:vAlign w:val="center"/>
          </w:tcPr>
          <w:p w14:paraId="52B2D481">
            <w:pPr>
              <w:widowControl w:val="0"/>
              <w:spacing w:line="336" w:lineRule="auto"/>
              <w:jc w:val="center"/>
              <w:rPr>
                <w:rFonts w:hint="eastAsia"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广州市增城区中医医院2025-2026年信息化网络安全服务运维项目和医疗电子票据管理系统运维项目监理服务</w:t>
            </w:r>
          </w:p>
        </w:tc>
        <w:tc>
          <w:tcPr>
            <w:tcW w:w="573" w:type="pct"/>
            <w:noWrap w:val="0"/>
            <w:vAlign w:val="center"/>
          </w:tcPr>
          <w:p w14:paraId="551C33DD">
            <w:pPr>
              <w:widowControl w:val="0"/>
              <w:spacing w:line="336" w:lineRule="auto"/>
              <w:jc w:val="center"/>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1</w:t>
            </w:r>
          </w:p>
        </w:tc>
        <w:tc>
          <w:tcPr>
            <w:tcW w:w="552" w:type="pct"/>
            <w:shd w:val="clear" w:color="auto" w:fill="auto"/>
            <w:noWrap w:val="0"/>
            <w:vAlign w:val="center"/>
          </w:tcPr>
          <w:p w14:paraId="59EF327C">
            <w:pPr>
              <w:widowControl/>
              <w:jc w:val="center"/>
              <w:rPr>
                <w:rFonts w:hint="eastAsia" w:ascii="宋体" w:hAnsi="宋体" w:eastAsia="宋体" w:cs="宋体"/>
                <w:color w:val="000000" w:themeColor="text1"/>
                <w:kern w:val="0"/>
                <w:sz w:val="21"/>
                <w:szCs w:val="21"/>
                <w:lang w:val="en-US" w:eastAsia="zh-CN" w:bidi="ar-SA"/>
                <w14:textFill>
                  <w14:solidFill>
                    <w14:schemeClr w14:val="tx1"/>
                  </w14:solidFill>
                </w14:textFill>
              </w:rPr>
            </w:pPr>
            <w:r>
              <w:rPr>
                <w:rFonts w:hint="eastAsia" w:ascii="宋体" w:hAnsi="宋体" w:cs="宋体"/>
                <w:color w:val="000000" w:themeColor="text1"/>
                <w:kern w:val="0"/>
                <w:szCs w:val="21"/>
                <w:lang w:eastAsia="zh-CN"/>
                <w14:textFill>
                  <w14:solidFill>
                    <w14:schemeClr w14:val="tx1"/>
                  </w14:solidFill>
                </w14:textFill>
              </w:rPr>
              <w:t>项</w:t>
            </w:r>
          </w:p>
        </w:tc>
        <w:tc>
          <w:tcPr>
            <w:tcW w:w="1154" w:type="pct"/>
            <w:shd w:val="clear" w:color="auto" w:fill="auto"/>
            <w:noWrap w:val="0"/>
            <w:vAlign w:val="center"/>
          </w:tcPr>
          <w:p w14:paraId="05442654">
            <w:pPr>
              <w:widowControl/>
              <w:jc w:val="center"/>
              <w:rPr>
                <w:rFonts w:hint="default" w:ascii="宋体" w:hAnsi="宋体" w:eastAsia="宋体" w:cs="Times New Roman"/>
                <w:color w:val="000000" w:themeColor="text1"/>
                <w:kern w:val="2"/>
                <w:sz w:val="21"/>
                <w:szCs w:val="21"/>
                <w:lang w:val="en-US" w:eastAsia="zh-CN" w:bidi="ar-SA"/>
                <w14:textFill>
                  <w14:solidFill>
                    <w14:schemeClr w14:val="tx1"/>
                  </w14:solidFill>
                </w14:textFill>
              </w:rPr>
            </w:pPr>
          </w:p>
        </w:tc>
        <w:tc>
          <w:tcPr>
            <w:tcW w:w="1080" w:type="pct"/>
            <w:shd w:val="clear" w:color="auto" w:fill="auto"/>
            <w:noWrap w:val="0"/>
            <w:vAlign w:val="center"/>
          </w:tcPr>
          <w:p w14:paraId="08BD67B9">
            <w:pPr>
              <w:widowControl/>
              <w:jc w:val="center"/>
              <w:rPr>
                <w:rFonts w:hint="eastAsia" w:ascii="宋体" w:hAnsi="宋体"/>
                <w:color w:val="000000" w:themeColor="text1"/>
                <w:szCs w:val="21"/>
                <w:lang w:val="en-US" w:eastAsia="zh-CN"/>
                <w14:textFill>
                  <w14:solidFill>
                    <w14:schemeClr w14:val="tx1"/>
                  </w14:solidFill>
                </w14:textFill>
              </w:rPr>
            </w:pPr>
          </w:p>
        </w:tc>
      </w:tr>
    </w:tbl>
    <w:p w14:paraId="28C08649">
      <w:pPr>
        <w:keepNext w:val="0"/>
        <w:keepLines w:val="0"/>
        <w:pageBreakBefore w:val="0"/>
        <w:widowControl/>
        <w:kinsoku/>
        <w:wordWrap/>
        <w:overflowPunct/>
        <w:topLinePunct w:val="0"/>
        <w:autoSpaceDE/>
        <w:autoSpaceDN/>
        <w:bidi w:val="0"/>
        <w:adjustRightInd/>
        <w:snapToGrid w:val="0"/>
        <w:spacing w:before="157" w:beforeLines="5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color w:val="000000" w:themeColor="text1"/>
          <w:kern w:val="0"/>
          <w:sz w:val="21"/>
          <w:szCs w:val="21"/>
          <w:lang w:val="en-US" w:eastAsia="zh-CN"/>
          <w14:textFill>
            <w14:solidFill>
              <w14:schemeClr w14:val="tx1"/>
            </w14:solidFill>
          </w14:textFill>
        </w:rPr>
        <w:t>说明：报价包括</w:t>
      </w:r>
      <w:r>
        <w:rPr>
          <w:rFonts w:hint="eastAsia" w:ascii="宋体" w:hAnsi="宋体" w:cs="宋体"/>
          <w:color w:val="000000" w:themeColor="text1"/>
          <w:kern w:val="0"/>
          <w:sz w:val="21"/>
          <w:szCs w:val="21"/>
          <w:lang w:val="en-US" w:eastAsia="zh-CN"/>
          <w14:textFill>
            <w14:solidFill>
              <w14:schemeClr w14:val="tx1"/>
            </w14:solidFill>
          </w14:textFill>
        </w:rPr>
        <w:t>运维服务费</w:t>
      </w:r>
      <w:r>
        <w:rPr>
          <w:rFonts w:hint="eastAsia" w:ascii="宋体" w:hAnsi="宋体" w:eastAsia="宋体" w:cs="宋体"/>
          <w:color w:val="000000" w:themeColor="text1"/>
          <w:kern w:val="0"/>
          <w:sz w:val="21"/>
          <w:szCs w:val="21"/>
          <w:lang w:val="en-US" w:eastAsia="zh-CN"/>
          <w14:textFill>
            <w14:solidFill>
              <w14:schemeClr w14:val="tx1"/>
            </w14:solidFill>
          </w14:textFill>
        </w:rPr>
        <w:t>、培训、质保期服务、各项税费及合同实施过程</w:t>
      </w:r>
      <w:r>
        <w:rPr>
          <w:rFonts w:hint="eastAsia" w:ascii="宋体" w:hAnsi="宋体" w:cs="宋体"/>
          <w:color w:val="000000" w:themeColor="text1"/>
          <w:kern w:val="0"/>
          <w:sz w:val="21"/>
          <w:szCs w:val="21"/>
          <w:lang w:val="en-US" w:eastAsia="zh-CN"/>
          <w14:textFill>
            <w14:solidFill>
              <w14:schemeClr w14:val="tx1"/>
            </w14:solidFill>
          </w14:textFill>
        </w:rPr>
        <w:t>中</w:t>
      </w:r>
      <w:r>
        <w:rPr>
          <w:rFonts w:hint="eastAsia" w:ascii="宋体" w:hAnsi="宋体" w:eastAsia="宋体" w:cs="宋体"/>
          <w:color w:val="000000" w:themeColor="text1"/>
          <w:kern w:val="0"/>
          <w:sz w:val="21"/>
          <w:szCs w:val="21"/>
          <w:lang w:val="en-US" w:eastAsia="zh-CN"/>
          <w14:textFill>
            <w14:solidFill>
              <w14:schemeClr w14:val="tx1"/>
            </w14:solidFill>
          </w14:textFill>
        </w:rPr>
        <w:t>不可预见费用等。</w:t>
      </w:r>
    </w:p>
    <w:p w14:paraId="2651BE42">
      <w:pPr>
        <w:pStyle w:val="5"/>
        <w:rPr>
          <w:rFonts w:hint="eastAsia" w:ascii="宋体" w:hAnsi="宋体" w:eastAsia="宋体" w:cs="宋体"/>
          <w:color w:val="auto"/>
          <w:sz w:val="21"/>
          <w:szCs w:val="21"/>
        </w:rPr>
      </w:pPr>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570E92"/>
    <w:rsid w:val="28570E92"/>
    <w:rsid w:val="36F80826"/>
    <w:rsid w:val="3FF71197"/>
    <w:rsid w:val="42F135EE"/>
    <w:rsid w:val="535F4286"/>
    <w:rsid w:val="53D0764D"/>
    <w:rsid w:val="75DE5235"/>
    <w:rsid w:val="79C62E1B"/>
    <w:rsid w:val="7AB77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beforeLines="0" w:after="260" w:afterLines="0" w:line="416" w:lineRule="auto"/>
      <w:outlineLvl w:val="1"/>
    </w:pPr>
    <w:rPr>
      <w:rFonts w:ascii="Arial" w:hAnsi="Arial" w:eastAsia="黑体"/>
      <w:b/>
      <w:kern w:val="0"/>
      <w:sz w:val="32"/>
      <w:szCs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UserStyle_0"/>
    <w:basedOn w:val="1"/>
    <w:qFormat/>
    <w:uiPriority w:val="0"/>
    <w:pPr>
      <w:jc w:val="center"/>
      <w:textAlignment w:val="baseline"/>
    </w:pPr>
    <w:rPr>
      <w:rFonts w:ascii="Times New Roman" w:hAnsi="Times New Roman" w:eastAsia="宋体"/>
      <w:b/>
      <w:kern w:val="2"/>
      <w:sz w:val="21"/>
      <w:szCs w:val="22"/>
      <w:lang w:val="en-US" w:eastAsia="zh-CN" w:bidi="ar-SA"/>
    </w:rPr>
  </w:style>
  <w:style w:type="character" w:customStyle="1" w:styleId="6">
    <w:name w:val="font31"/>
    <w:basedOn w:val="4"/>
    <w:qFormat/>
    <w:uiPriority w:val="0"/>
    <w:rPr>
      <w:rFonts w:hint="eastAsia" w:ascii="宋体" w:hAnsi="宋体" w:eastAsia="宋体" w:cs="宋体"/>
      <w:b/>
      <w:bCs/>
      <w:color w:val="FF0000"/>
      <w:sz w:val="22"/>
      <w:szCs w:val="22"/>
      <w:u w:val="none"/>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108</Words>
  <Characters>111</Characters>
  <Lines>0</Lines>
  <Paragraphs>0</Paragraphs>
  <TotalTime>0</TotalTime>
  <ScaleCrop>false</ScaleCrop>
  <LinksUpToDate>false</LinksUpToDate>
  <CharactersWithSpaces>112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2025-03-11T07:26:00Z</dcterms:created>
  <dc:creator>小芬</dc:creator>
  <cp:lastModifiedBy>赵敏</cp:lastModifiedBy>
  <dcterms:modified xsi:type="dcterms:W3CDTF">2025-09-25T07:16:40Z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3C5C98A811F34CDEB2E6578FE1B4B4D5_11</vt:lpwstr>
  </property>
  <property fmtid="{D5CDD505-2E9C-101B-9397-08002B2CF9AE}" pid="4" name="KSOTemplateDocerSaveRecord">
    <vt:lpwstr>eyJoZGlkIjoiZDdiZDM3NWJlMmIxMmFkODg1ZTllOTIyOTQ1ZTg2YzEiLCJ1c2VySWQiOiI3MzAzNTgyNTIifQ==</vt:lpwstr>
  </property>
</Properties>
</file>