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41F57">
      <w:pPr>
        <w:keepNext w:val="0"/>
        <w:keepLines w:val="0"/>
        <w:pageBreakBefore w:val="0"/>
        <w:widowControl w:val="0"/>
        <w:numPr>
          <w:ilvl w:val="0"/>
          <w:numId w:val="0"/>
        </w:numPr>
        <w:tabs>
          <w:tab w:val="left" w:pos="2653"/>
        </w:tabs>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kern w:val="2"/>
          <w:sz w:val="44"/>
          <w:szCs w:val="44"/>
          <w:lang w:val="en-US" w:eastAsia="zh-CN" w:bidi="ar-SA"/>
        </w:rPr>
      </w:pPr>
      <w:r>
        <w:rPr>
          <w:rFonts w:hint="eastAsia" w:ascii="宋体" w:hAnsi="宋体" w:eastAsia="宋体" w:cs="宋体"/>
          <w:b/>
          <w:bCs/>
          <w:kern w:val="2"/>
          <w:sz w:val="44"/>
          <w:szCs w:val="44"/>
          <w:lang w:val="en-US" w:eastAsia="zh-CN" w:bidi="ar-SA"/>
        </w:rPr>
        <w:t>广州市增城区中医医院2025-2026年</w:t>
      </w:r>
      <w:r>
        <w:rPr>
          <w:rFonts w:hint="eastAsia" w:ascii="宋体" w:hAnsi="宋体" w:cs="宋体"/>
          <w:b/>
          <w:bCs/>
          <w:kern w:val="2"/>
          <w:sz w:val="44"/>
          <w:szCs w:val="44"/>
          <w:lang w:val="en-US" w:eastAsia="zh-CN" w:bidi="ar-SA"/>
        </w:rPr>
        <w:t>电梯维护保养及维修</w:t>
      </w:r>
      <w:r>
        <w:rPr>
          <w:rFonts w:hint="eastAsia" w:ascii="宋体" w:hAnsi="宋体" w:eastAsia="宋体" w:cs="宋体"/>
          <w:b/>
          <w:bCs/>
          <w:kern w:val="2"/>
          <w:sz w:val="44"/>
          <w:szCs w:val="44"/>
          <w:lang w:val="en-US" w:eastAsia="zh-CN" w:bidi="ar-SA"/>
        </w:rPr>
        <w:t>项目采购需求</w:t>
      </w:r>
    </w:p>
    <w:p w14:paraId="2F42A89A">
      <w:pPr>
        <w:pStyle w:val="9"/>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2"/>
        <w:rPr>
          <w:rFonts w:hint="eastAsia" w:ascii="宋体" w:hAnsi="宋体" w:eastAsia="宋体" w:cs="宋体"/>
          <w:b/>
          <w:color w:val="auto"/>
          <w:sz w:val="21"/>
          <w:szCs w:val="21"/>
          <w:highlight w:val="none"/>
        </w:rPr>
      </w:pPr>
      <w:bookmarkStart w:id="0" w:name="_Toc31935"/>
    </w:p>
    <w:p w14:paraId="0A02AAD8">
      <w:pPr>
        <w:pStyle w:val="9"/>
        <w:keepNext w:val="0"/>
        <w:keepLines w:val="0"/>
        <w:pageBreakBefore w:val="0"/>
        <w:widowControl/>
        <w:kinsoku/>
        <w:wordWrap/>
        <w:overflowPunct/>
        <w:topLinePunct w:val="0"/>
        <w:autoSpaceDE/>
        <w:autoSpaceDN/>
        <w:bidi w:val="0"/>
        <w:adjustRightInd/>
        <w:snapToGrid/>
        <w:spacing w:line="360" w:lineRule="auto"/>
        <w:ind w:firstLine="562" w:firstLineChars="200"/>
        <w:textAlignment w:val="auto"/>
        <w:outlineLvl w:val="2"/>
        <w:rPr>
          <w:rFonts w:hint="eastAsia" w:ascii="仿宋" w:hAnsi="仿宋" w:eastAsia="仿宋" w:cs="仿宋"/>
          <w:color w:val="auto"/>
          <w:sz w:val="28"/>
          <w:szCs w:val="28"/>
          <w:highlight w:val="none"/>
        </w:rPr>
      </w:pPr>
      <w:r>
        <w:rPr>
          <w:rFonts w:hint="eastAsia" w:ascii="仿宋" w:hAnsi="仿宋" w:eastAsia="仿宋" w:cs="仿宋"/>
          <w:b/>
          <w:color w:val="auto"/>
          <w:sz w:val="28"/>
          <w:szCs w:val="28"/>
          <w:highlight w:val="none"/>
        </w:rPr>
        <w:t>一、项目概况</w:t>
      </w:r>
    </w:p>
    <w:p w14:paraId="04F85026">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1.项目名称：广州市增城区中医医院2025年-2026年</w:t>
      </w:r>
      <w:r>
        <w:rPr>
          <w:rFonts w:hint="eastAsia" w:ascii="仿宋" w:hAnsi="仿宋" w:eastAsia="仿宋" w:cs="仿宋"/>
          <w:color w:val="auto"/>
          <w:sz w:val="28"/>
          <w:szCs w:val="28"/>
          <w:highlight w:val="none"/>
          <w:lang w:val="en-US" w:eastAsia="zh-CN"/>
        </w:rPr>
        <w:t>电梯维护保养及</w:t>
      </w:r>
      <w:r>
        <w:rPr>
          <w:rFonts w:hint="eastAsia" w:ascii="仿宋" w:hAnsi="仿宋" w:eastAsia="仿宋" w:cs="仿宋"/>
          <w:color w:val="auto"/>
          <w:sz w:val="28"/>
          <w:szCs w:val="28"/>
          <w:highlight w:val="none"/>
        </w:rPr>
        <w:t>维修项目</w:t>
      </w:r>
    </w:p>
    <w:p w14:paraId="3435CEB4">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2.服务单位：广州市增城区中医医院</w:t>
      </w:r>
    </w:p>
    <w:p w14:paraId="282C14F3">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3.服务地点：广州市增城区荔城街民生路50号</w:t>
      </w:r>
    </w:p>
    <w:p w14:paraId="6ACCEA22">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FF0000"/>
          <w:sz w:val="28"/>
          <w:szCs w:val="28"/>
          <w:highlight w:val="none"/>
        </w:rPr>
      </w:pPr>
      <w:r>
        <w:rPr>
          <w:rFonts w:hint="eastAsia" w:ascii="仿宋" w:hAnsi="仿宋" w:eastAsia="仿宋" w:cs="仿宋"/>
          <w:color w:val="FF0000"/>
          <w:sz w:val="28"/>
          <w:szCs w:val="28"/>
          <w:highlight w:val="none"/>
        </w:rPr>
        <w:t>4.项目年度预算：</w:t>
      </w:r>
      <w:r>
        <w:rPr>
          <w:rFonts w:hint="eastAsia" w:ascii="仿宋" w:hAnsi="仿宋" w:eastAsia="仿宋" w:cs="仿宋"/>
          <w:color w:val="FF0000"/>
          <w:sz w:val="28"/>
          <w:szCs w:val="28"/>
          <w:highlight w:val="none"/>
          <w:lang w:val="en-US" w:eastAsia="zh-CN"/>
        </w:rPr>
        <w:t>5.5万</w:t>
      </w:r>
      <w:r>
        <w:rPr>
          <w:rFonts w:hint="eastAsia" w:ascii="仿宋" w:hAnsi="仿宋" w:eastAsia="仿宋" w:cs="仿宋"/>
          <w:color w:val="FF0000"/>
          <w:sz w:val="28"/>
          <w:szCs w:val="28"/>
          <w:highlight w:val="none"/>
        </w:rPr>
        <w:t>元，</w:t>
      </w:r>
      <w:r>
        <w:rPr>
          <w:rFonts w:hint="eastAsia" w:ascii="仿宋" w:hAnsi="仿宋" w:eastAsia="仿宋" w:cs="仿宋"/>
          <w:color w:val="FF0000"/>
          <w:sz w:val="28"/>
          <w:szCs w:val="28"/>
          <w:highlight w:val="none"/>
          <w:lang w:val="en-US" w:eastAsia="zh-CN"/>
        </w:rPr>
        <w:t>其中日常维保费用约3万元；故障维修约2.5万元（按实际维修费用列支）</w:t>
      </w:r>
      <w:r>
        <w:rPr>
          <w:rFonts w:hint="eastAsia" w:ascii="仿宋" w:hAnsi="仿宋" w:eastAsia="仿宋" w:cs="仿宋"/>
          <w:color w:val="FF0000"/>
          <w:sz w:val="28"/>
          <w:szCs w:val="28"/>
          <w:highlight w:val="none"/>
        </w:rPr>
        <w:t>。</w:t>
      </w:r>
    </w:p>
    <w:p w14:paraId="2D0BE84C">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FF0000"/>
          <w:sz w:val="28"/>
          <w:szCs w:val="28"/>
          <w:highlight w:val="none"/>
          <w:lang w:val="en-US" w:eastAsia="zh-CN"/>
        </w:rPr>
      </w:pPr>
      <w:r>
        <w:rPr>
          <w:rFonts w:hint="eastAsia" w:ascii="仿宋" w:hAnsi="仿宋" w:eastAsia="仿宋" w:cs="仿宋"/>
          <w:color w:val="FF0000"/>
          <w:sz w:val="28"/>
          <w:szCs w:val="28"/>
          <w:highlight w:val="none"/>
        </w:rPr>
        <w:t>5.比价计算规则为：</w:t>
      </w:r>
      <w:r>
        <w:rPr>
          <w:rFonts w:hint="eastAsia" w:ascii="仿宋" w:hAnsi="仿宋" w:eastAsia="仿宋" w:cs="仿宋"/>
          <w:color w:val="FF0000"/>
          <w:sz w:val="28"/>
          <w:szCs w:val="28"/>
          <w:highlight w:val="none"/>
          <w:lang w:val="en-US" w:eastAsia="zh-CN"/>
        </w:rPr>
        <w:t>按年度日常维保费和故障维修服务清单表的最高限价情况，对整个项目按最高限价报下浮率。下浮率最高的为成交供应商。</w:t>
      </w:r>
    </w:p>
    <w:p w14:paraId="2159D398">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.服务期限：自合同签订之日起</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年</w:t>
      </w:r>
    </w:p>
    <w:p w14:paraId="42DBA9B6">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采购方式：比价</w:t>
      </w:r>
    </w:p>
    <w:p w14:paraId="7EF1D585">
      <w:pPr>
        <w:pStyle w:val="9"/>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.本项目</w:t>
      </w:r>
      <w:r>
        <w:rPr>
          <w:rFonts w:hint="eastAsia" w:ascii="仿宋" w:hAnsi="仿宋" w:eastAsia="仿宋" w:cs="仿宋"/>
          <w:color w:val="auto"/>
          <w:sz w:val="28"/>
          <w:szCs w:val="28"/>
          <w:highlight w:val="none"/>
          <w:lang w:eastAsia="zh-CN"/>
        </w:rPr>
        <w:t>成交供应商</w:t>
      </w:r>
      <w:r>
        <w:rPr>
          <w:rFonts w:hint="eastAsia" w:ascii="仿宋" w:hAnsi="仿宋" w:eastAsia="仿宋" w:cs="仿宋"/>
          <w:color w:val="auto"/>
          <w:sz w:val="28"/>
          <w:szCs w:val="28"/>
          <w:highlight w:val="none"/>
        </w:rPr>
        <w:t>为采购人</w:t>
      </w:r>
      <w:r>
        <w:rPr>
          <w:rFonts w:hint="eastAsia" w:ascii="仿宋" w:hAnsi="仿宋" w:eastAsia="仿宋" w:cs="仿宋"/>
          <w:color w:val="auto"/>
          <w:sz w:val="28"/>
          <w:szCs w:val="28"/>
          <w:highlight w:val="none"/>
          <w:lang w:val="en-US" w:eastAsia="zh-CN"/>
        </w:rPr>
        <w:t>提供电梯维保服务，采购人医院内设病床电梯5台（详见表格），需按照维保计划由专业有资质维保公司负责电梯系统维保服务，确保医院全部电梯正常运作</w:t>
      </w:r>
      <w:r>
        <w:rPr>
          <w:rFonts w:hint="eastAsia" w:ascii="仿宋" w:hAnsi="仿宋" w:eastAsia="仿宋" w:cs="仿宋"/>
          <w:color w:val="auto"/>
          <w:sz w:val="28"/>
          <w:szCs w:val="28"/>
          <w:highlight w:val="none"/>
        </w:rPr>
        <w:t>。</w:t>
      </w:r>
    </w:p>
    <w:tbl>
      <w:tblPr>
        <w:tblStyle w:val="6"/>
        <w:tblW w:w="100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2"/>
        <w:gridCol w:w="1602"/>
        <w:gridCol w:w="1290"/>
        <w:gridCol w:w="963"/>
        <w:gridCol w:w="1875"/>
        <w:gridCol w:w="2735"/>
      </w:tblGrid>
      <w:tr w14:paraId="48F23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2" w:type="dxa"/>
            <w:noWrap w:val="0"/>
            <w:vAlign w:val="center"/>
          </w:tcPr>
          <w:p w14:paraId="4AC8D34C">
            <w:pPr>
              <w:spacing w:line="300" w:lineRule="exact"/>
              <w:jc w:val="center"/>
              <w:rPr>
                <w:rFonts w:hint="eastAsia"/>
                <w:sz w:val="24"/>
                <w:szCs w:val="24"/>
              </w:rPr>
            </w:pPr>
            <w:r>
              <w:rPr>
                <w:rFonts w:hint="eastAsia"/>
                <w:sz w:val="24"/>
                <w:szCs w:val="24"/>
              </w:rPr>
              <w:t>电梯类别</w:t>
            </w:r>
          </w:p>
        </w:tc>
        <w:tc>
          <w:tcPr>
            <w:tcW w:w="1602" w:type="dxa"/>
            <w:noWrap w:val="0"/>
            <w:vAlign w:val="center"/>
          </w:tcPr>
          <w:p w14:paraId="0893A96C">
            <w:pPr>
              <w:spacing w:line="300" w:lineRule="exact"/>
              <w:jc w:val="center"/>
              <w:rPr>
                <w:rFonts w:hint="eastAsia"/>
                <w:sz w:val="24"/>
                <w:szCs w:val="24"/>
              </w:rPr>
            </w:pPr>
            <w:r>
              <w:rPr>
                <w:rFonts w:hint="eastAsia"/>
                <w:sz w:val="24"/>
                <w:szCs w:val="24"/>
              </w:rPr>
              <w:t>生产厂家</w:t>
            </w:r>
          </w:p>
        </w:tc>
        <w:tc>
          <w:tcPr>
            <w:tcW w:w="1290" w:type="dxa"/>
            <w:noWrap w:val="0"/>
            <w:vAlign w:val="center"/>
          </w:tcPr>
          <w:p w14:paraId="75DA9301">
            <w:pPr>
              <w:spacing w:line="300" w:lineRule="exact"/>
              <w:jc w:val="center"/>
              <w:rPr>
                <w:rFonts w:hint="eastAsia"/>
                <w:sz w:val="24"/>
                <w:szCs w:val="24"/>
              </w:rPr>
            </w:pPr>
            <w:r>
              <w:rPr>
                <w:rFonts w:hint="eastAsia"/>
                <w:sz w:val="24"/>
                <w:szCs w:val="24"/>
              </w:rPr>
              <w:t>层站门</w:t>
            </w:r>
          </w:p>
        </w:tc>
        <w:tc>
          <w:tcPr>
            <w:tcW w:w="963" w:type="dxa"/>
            <w:noWrap w:val="0"/>
            <w:vAlign w:val="center"/>
          </w:tcPr>
          <w:p w14:paraId="644D2E0A">
            <w:pPr>
              <w:spacing w:line="300" w:lineRule="exact"/>
              <w:jc w:val="center"/>
              <w:rPr>
                <w:rFonts w:hint="eastAsia"/>
                <w:sz w:val="24"/>
                <w:szCs w:val="24"/>
              </w:rPr>
            </w:pPr>
            <w:r>
              <w:rPr>
                <w:rFonts w:hint="eastAsia"/>
                <w:sz w:val="24"/>
                <w:szCs w:val="24"/>
              </w:rPr>
              <w:t>台数</w:t>
            </w:r>
          </w:p>
        </w:tc>
        <w:tc>
          <w:tcPr>
            <w:tcW w:w="1875" w:type="dxa"/>
            <w:shd w:val="clear" w:color="auto" w:fill="auto"/>
            <w:noWrap w:val="0"/>
            <w:vAlign w:val="center"/>
          </w:tcPr>
          <w:p w14:paraId="11755243">
            <w:pPr>
              <w:spacing w:line="300" w:lineRule="exact"/>
              <w:ind w:left="-107" w:leftChars="-51" w:right="-107" w:rightChars="-51"/>
              <w:jc w:val="center"/>
              <w:rPr>
                <w:rFonts w:hint="eastAsia" w:ascii="Times New Roman" w:hAnsi="Times New Roman" w:eastAsia="宋体" w:cs="Times New Roman"/>
                <w:kern w:val="2"/>
                <w:sz w:val="24"/>
                <w:szCs w:val="24"/>
                <w:lang w:val="en-US" w:eastAsia="zh-CN" w:bidi="ar-SA"/>
              </w:rPr>
            </w:pPr>
            <w:r>
              <w:rPr>
                <w:rFonts w:hint="eastAsia"/>
                <w:sz w:val="24"/>
                <w:szCs w:val="24"/>
              </w:rPr>
              <w:t>检验合格编号</w:t>
            </w:r>
          </w:p>
        </w:tc>
        <w:tc>
          <w:tcPr>
            <w:tcW w:w="2735" w:type="dxa"/>
            <w:shd w:val="clear" w:color="auto" w:fill="auto"/>
            <w:noWrap w:val="0"/>
            <w:vAlign w:val="center"/>
          </w:tcPr>
          <w:p w14:paraId="0AF9B0A9">
            <w:pPr>
              <w:spacing w:line="300" w:lineRule="exact"/>
              <w:ind w:left="-107" w:leftChars="-51" w:right="-107" w:rightChars="-51"/>
              <w:jc w:val="center"/>
              <w:rPr>
                <w:rFonts w:hint="eastAsia" w:ascii="Times New Roman" w:hAnsi="Times New Roman" w:eastAsia="宋体" w:cs="Times New Roman"/>
                <w:kern w:val="2"/>
                <w:sz w:val="24"/>
                <w:szCs w:val="24"/>
                <w:lang w:val="en-US" w:eastAsia="zh-CN" w:bidi="ar-SA"/>
              </w:rPr>
            </w:pPr>
            <w:r>
              <w:rPr>
                <w:rFonts w:hint="eastAsia"/>
                <w:sz w:val="24"/>
                <w:szCs w:val="24"/>
                <w:lang w:eastAsia="zh-CN"/>
              </w:rPr>
              <w:t>设备代码</w:t>
            </w:r>
          </w:p>
        </w:tc>
      </w:tr>
      <w:tr w14:paraId="1DCFC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2" w:type="dxa"/>
            <w:noWrap w:val="0"/>
            <w:vAlign w:val="center"/>
          </w:tcPr>
          <w:p w14:paraId="3B96C3E5">
            <w:pPr>
              <w:spacing w:line="300" w:lineRule="exact"/>
              <w:jc w:val="center"/>
              <w:rPr>
                <w:rFonts w:hint="eastAsia"/>
                <w:sz w:val="24"/>
                <w:szCs w:val="24"/>
                <w:lang w:eastAsia="zh-CN"/>
              </w:rPr>
            </w:pPr>
            <w:r>
              <w:rPr>
                <w:rFonts w:hint="eastAsia"/>
                <w:sz w:val="24"/>
                <w:szCs w:val="24"/>
                <w:lang w:eastAsia="zh-CN"/>
              </w:rPr>
              <w:t>病床电梯</w:t>
            </w:r>
          </w:p>
        </w:tc>
        <w:tc>
          <w:tcPr>
            <w:tcW w:w="1602" w:type="dxa"/>
            <w:noWrap w:val="0"/>
            <w:vAlign w:val="center"/>
          </w:tcPr>
          <w:p w14:paraId="633B3272">
            <w:pPr>
              <w:spacing w:line="300" w:lineRule="exact"/>
              <w:jc w:val="center"/>
              <w:rPr>
                <w:rFonts w:hint="eastAsia"/>
                <w:sz w:val="24"/>
                <w:szCs w:val="24"/>
                <w:lang w:eastAsia="zh-CN"/>
              </w:rPr>
            </w:pPr>
            <w:r>
              <w:rPr>
                <w:rFonts w:hint="eastAsia"/>
                <w:sz w:val="24"/>
                <w:szCs w:val="24"/>
                <w:lang w:eastAsia="zh-CN"/>
              </w:rPr>
              <w:t>广日</w:t>
            </w:r>
          </w:p>
        </w:tc>
        <w:tc>
          <w:tcPr>
            <w:tcW w:w="1290" w:type="dxa"/>
            <w:noWrap w:val="0"/>
            <w:vAlign w:val="center"/>
          </w:tcPr>
          <w:p w14:paraId="4BAD1C39">
            <w:pPr>
              <w:spacing w:line="300" w:lineRule="exact"/>
              <w:jc w:val="center"/>
              <w:rPr>
                <w:rFonts w:hint="default" w:eastAsia="宋体"/>
                <w:sz w:val="24"/>
                <w:szCs w:val="24"/>
                <w:lang w:val="en-US" w:eastAsia="zh-CN"/>
              </w:rPr>
            </w:pPr>
            <w:r>
              <w:rPr>
                <w:rFonts w:hint="eastAsia" w:eastAsia="宋体"/>
                <w:sz w:val="24"/>
                <w:szCs w:val="24"/>
                <w:lang w:val="en-US" w:eastAsia="zh-CN"/>
              </w:rPr>
              <w:t>6/6/6</w:t>
            </w:r>
          </w:p>
        </w:tc>
        <w:tc>
          <w:tcPr>
            <w:tcW w:w="963" w:type="dxa"/>
            <w:noWrap w:val="0"/>
            <w:vAlign w:val="center"/>
          </w:tcPr>
          <w:p w14:paraId="2079ABD8">
            <w:pPr>
              <w:spacing w:line="300" w:lineRule="exact"/>
              <w:jc w:val="center"/>
              <w:rPr>
                <w:rFonts w:hint="default"/>
                <w:sz w:val="24"/>
                <w:szCs w:val="24"/>
                <w:lang w:val="en-US" w:eastAsia="zh-CN"/>
              </w:rPr>
            </w:pPr>
            <w:r>
              <w:rPr>
                <w:rFonts w:hint="eastAsia"/>
                <w:sz w:val="24"/>
                <w:szCs w:val="24"/>
                <w:lang w:val="en-US" w:eastAsia="zh-CN"/>
              </w:rPr>
              <w:t>1</w:t>
            </w:r>
          </w:p>
        </w:tc>
        <w:tc>
          <w:tcPr>
            <w:tcW w:w="1875" w:type="dxa"/>
            <w:shd w:val="clear" w:color="auto" w:fill="auto"/>
            <w:noWrap w:val="0"/>
            <w:vAlign w:val="center"/>
          </w:tcPr>
          <w:p w14:paraId="54C5515E">
            <w:pPr>
              <w:spacing w:line="300" w:lineRule="exact"/>
              <w:jc w:val="center"/>
              <w:rPr>
                <w:rFonts w:hint="eastAsia" w:ascii="Times New Roman" w:hAnsi="Times New Roman" w:eastAsia="宋体" w:cs="Times New Roman"/>
                <w:bCs/>
                <w:kern w:val="2"/>
                <w:sz w:val="24"/>
                <w:szCs w:val="24"/>
                <w:lang w:val="en-US" w:eastAsia="zh-CN" w:bidi="ar-SA"/>
              </w:rPr>
            </w:pPr>
            <w:r>
              <w:rPr>
                <w:rFonts w:hint="eastAsia"/>
                <w:bCs/>
                <w:sz w:val="24"/>
                <w:szCs w:val="24"/>
                <w:lang w:val="en-US" w:eastAsia="zh-CN"/>
              </w:rPr>
              <w:t>0153807640</w:t>
            </w:r>
          </w:p>
        </w:tc>
        <w:tc>
          <w:tcPr>
            <w:tcW w:w="2735" w:type="dxa"/>
            <w:shd w:val="clear" w:color="auto" w:fill="auto"/>
            <w:noWrap w:val="0"/>
            <w:vAlign w:val="center"/>
          </w:tcPr>
          <w:p w14:paraId="3BC59718">
            <w:pPr>
              <w:spacing w:line="300" w:lineRule="exact"/>
              <w:jc w:val="center"/>
              <w:rPr>
                <w:rFonts w:hint="default" w:ascii="Times New Roman" w:hAnsi="Times New Roman" w:eastAsia="宋体" w:cs="Times New Roman"/>
                <w:bCs/>
                <w:kern w:val="2"/>
                <w:sz w:val="24"/>
                <w:szCs w:val="24"/>
                <w:lang w:val="en-US" w:eastAsia="zh-CN" w:bidi="ar-SA"/>
              </w:rPr>
            </w:pPr>
            <w:r>
              <w:rPr>
                <w:rFonts w:hint="eastAsia"/>
                <w:bCs/>
                <w:sz w:val="24"/>
                <w:szCs w:val="24"/>
                <w:lang w:val="en-US" w:eastAsia="zh-CN"/>
              </w:rPr>
              <w:t>31704401832015020001</w:t>
            </w:r>
          </w:p>
        </w:tc>
      </w:tr>
      <w:tr w14:paraId="39198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2" w:type="dxa"/>
            <w:noWrap w:val="0"/>
            <w:vAlign w:val="center"/>
          </w:tcPr>
          <w:p w14:paraId="4DE366A8">
            <w:pPr>
              <w:spacing w:line="300" w:lineRule="exact"/>
              <w:jc w:val="center"/>
              <w:rPr>
                <w:rFonts w:hint="eastAsia" w:eastAsia="宋体"/>
                <w:sz w:val="24"/>
                <w:szCs w:val="24"/>
                <w:lang w:eastAsia="zh-CN"/>
              </w:rPr>
            </w:pPr>
            <w:r>
              <w:rPr>
                <w:rFonts w:hint="eastAsia"/>
                <w:sz w:val="24"/>
                <w:szCs w:val="24"/>
                <w:lang w:eastAsia="zh-CN"/>
              </w:rPr>
              <w:t>病床电梯</w:t>
            </w:r>
          </w:p>
        </w:tc>
        <w:tc>
          <w:tcPr>
            <w:tcW w:w="1602" w:type="dxa"/>
            <w:noWrap w:val="0"/>
            <w:vAlign w:val="center"/>
          </w:tcPr>
          <w:p w14:paraId="22407D39">
            <w:pPr>
              <w:spacing w:line="300" w:lineRule="exact"/>
              <w:jc w:val="center"/>
              <w:rPr>
                <w:rFonts w:hint="eastAsia"/>
                <w:sz w:val="24"/>
                <w:szCs w:val="24"/>
                <w:lang w:eastAsia="zh-CN"/>
              </w:rPr>
            </w:pPr>
            <w:r>
              <w:rPr>
                <w:rFonts w:hint="eastAsia"/>
                <w:sz w:val="24"/>
                <w:szCs w:val="24"/>
                <w:lang w:eastAsia="zh-CN"/>
              </w:rPr>
              <w:t>广日</w:t>
            </w:r>
          </w:p>
        </w:tc>
        <w:tc>
          <w:tcPr>
            <w:tcW w:w="1290" w:type="dxa"/>
            <w:noWrap w:val="0"/>
            <w:vAlign w:val="center"/>
          </w:tcPr>
          <w:p w14:paraId="375C2982">
            <w:pPr>
              <w:spacing w:line="300" w:lineRule="exact"/>
              <w:jc w:val="center"/>
              <w:rPr>
                <w:rFonts w:hint="eastAsia" w:eastAsia="宋体"/>
                <w:sz w:val="24"/>
                <w:szCs w:val="24"/>
                <w:lang w:val="en-US" w:eastAsia="zh-CN"/>
              </w:rPr>
            </w:pPr>
            <w:r>
              <w:rPr>
                <w:rFonts w:hint="eastAsia" w:eastAsia="宋体"/>
                <w:sz w:val="24"/>
                <w:szCs w:val="24"/>
                <w:lang w:val="en-US" w:eastAsia="zh-CN"/>
              </w:rPr>
              <w:t>7/7/7</w:t>
            </w:r>
          </w:p>
        </w:tc>
        <w:tc>
          <w:tcPr>
            <w:tcW w:w="963" w:type="dxa"/>
            <w:noWrap w:val="0"/>
            <w:vAlign w:val="center"/>
          </w:tcPr>
          <w:p w14:paraId="335EF1E3">
            <w:pPr>
              <w:spacing w:line="300" w:lineRule="exact"/>
              <w:jc w:val="center"/>
              <w:rPr>
                <w:rFonts w:hint="default"/>
                <w:sz w:val="24"/>
                <w:szCs w:val="24"/>
                <w:lang w:val="en-US" w:eastAsia="zh-CN"/>
              </w:rPr>
            </w:pPr>
            <w:r>
              <w:rPr>
                <w:rFonts w:hint="eastAsia"/>
                <w:sz w:val="24"/>
                <w:szCs w:val="24"/>
                <w:lang w:val="en-US" w:eastAsia="zh-CN"/>
              </w:rPr>
              <w:t>1</w:t>
            </w:r>
          </w:p>
        </w:tc>
        <w:tc>
          <w:tcPr>
            <w:tcW w:w="1875" w:type="dxa"/>
            <w:shd w:val="clear" w:color="auto" w:fill="auto"/>
            <w:noWrap w:val="0"/>
            <w:vAlign w:val="center"/>
          </w:tcPr>
          <w:p w14:paraId="4814DF32">
            <w:pPr>
              <w:spacing w:line="300" w:lineRule="exact"/>
              <w:jc w:val="center"/>
              <w:rPr>
                <w:rFonts w:hint="eastAsia" w:ascii="Times New Roman" w:hAnsi="Times New Roman" w:eastAsia="宋体" w:cs="Times New Roman"/>
                <w:bCs/>
                <w:kern w:val="2"/>
                <w:sz w:val="24"/>
                <w:szCs w:val="24"/>
                <w:lang w:val="en-US" w:eastAsia="zh-CN" w:bidi="ar-SA"/>
              </w:rPr>
            </w:pPr>
            <w:r>
              <w:rPr>
                <w:rFonts w:hint="eastAsia"/>
                <w:bCs/>
                <w:sz w:val="24"/>
                <w:szCs w:val="24"/>
                <w:lang w:val="en-US" w:eastAsia="zh-CN"/>
              </w:rPr>
              <w:t>0153807641</w:t>
            </w:r>
          </w:p>
        </w:tc>
        <w:tc>
          <w:tcPr>
            <w:tcW w:w="2735" w:type="dxa"/>
            <w:shd w:val="clear" w:color="auto" w:fill="auto"/>
            <w:noWrap w:val="0"/>
            <w:vAlign w:val="center"/>
          </w:tcPr>
          <w:p w14:paraId="096B219C">
            <w:pPr>
              <w:spacing w:line="300" w:lineRule="exact"/>
              <w:jc w:val="center"/>
              <w:rPr>
                <w:rFonts w:hint="eastAsia" w:ascii="Times New Roman" w:hAnsi="Times New Roman" w:eastAsia="宋体" w:cs="Times New Roman"/>
                <w:bCs/>
                <w:kern w:val="2"/>
                <w:sz w:val="24"/>
                <w:szCs w:val="24"/>
                <w:lang w:val="en-US" w:eastAsia="zh-CN" w:bidi="ar-SA"/>
              </w:rPr>
            </w:pPr>
            <w:r>
              <w:rPr>
                <w:rFonts w:hint="eastAsia"/>
                <w:bCs/>
                <w:sz w:val="24"/>
                <w:szCs w:val="24"/>
                <w:lang w:val="en-US" w:eastAsia="zh-CN"/>
              </w:rPr>
              <w:t>31704401832015050001</w:t>
            </w:r>
          </w:p>
        </w:tc>
      </w:tr>
      <w:tr w14:paraId="6943A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2" w:type="dxa"/>
            <w:noWrap w:val="0"/>
            <w:vAlign w:val="center"/>
          </w:tcPr>
          <w:p w14:paraId="34015248">
            <w:pPr>
              <w:spacing w:line="300" w:lineRule="exact"/>
              <w:jc w:val="center"/>
              <w:rPr>
                <w:rFonts w:hint="eastAsia"/>
                <w:sz w:val="24"/>
                <w:szCs w:val="24"/>
                <w:lang w:eastAsia="zh-CN"/>
              </w:rPr>
            </w:pPr>
            <w:r>
              <w:rPr>
                <w:rFonts w:hint="eastAsia"/>
                <w:sz w:val="24"/>
                <w:szCs w:val="24"/>
                <w:lang w:eastAsia="zh-CN"/>
              </w:rPr>
              <w:t>病床电梯</w:t>
            </w:r>
          </w:p>
        </w:tc>
        <w:tc>
          <w:tcPr>
            <w:tcW w:w="1602" w:type="dxa"/>
            <w:noWrap w:val="0"/>
            <w:vAlign w:val="center"/>
          </w:tcPr>
          <w:p w14:paraId="02CB62AE">
            <w:pPr>
              <w:spacing w:line="300" w:lineRule="exact"/>
              <w:jc w:val="center"/>
              <w:rPr>
                <w:rFonts w:hint="eastAsia"/>
                <w:sz w:val="24"/>
                <w:szCs w:val="24"/>
                <w:lang w:eastAsia="zh-CN"/>
              </w:rPr>
            </w:pPr>
            <w:r>
              <w:rPr>
                <w:rFonts w:hint="eastAsia"/>
                <w:sz w:val="24"/>
                <w:szCs w:val="24"/>
                <w:lang w:eastAsia="zh-CN"/>
              </w:rPr>
              <w:t>广日</w:t>
            </w:r>
          </w:p>
        </w:tc>
        <w:tc>
          <w:tcPr>
            <w:tcW w:w="1290" w:type="dxa"/>
            <w:noWrap w:val="0"/>
            <w:vAlign w:val="center"/>
          </w:tcPr>
          <w:p w14:paraId="0A890D0D">
            <w:pPr>
              <w:spacing w:line="300" w:lineRule="exact"/>
              <w:jc w:val="center"/>
              <w:rPr>
                <w:rFonts w:hint="eastAsia" w:eastAsia="宋体"/>
                <w:sz w:val="24"/>
                <w:szCs w:val="24"/>
                <w:lang w:val="en-US" w:eastAsia="zh-CN"/>
              </w:rPr>
            </w:pPr>
            <w:r>
              <w:rPr>
                <w:rFonts w:hint="eastAsia" w:eastAsia="宋体"/>
                <w:sz w:val="24"/>
                <w:szCs w:val="24"/>
                <w:lang w:val="en-US" w:eastAsia="zh-CN"/>
              </w:rPr>
              <w:t>7/7/7</w:t>
            </w:r>
          </w:p>
        </w:tc>
        <w:tc>
          <w:tcPr>
            <w:tcW w:w="963" w:type="dxa"/>
            <w:noWrap w:val="0"/>
            <w:vAlign w:val="center"/>
          </w:tcPr>
          <w:p w14:paraId="43E66F02">
            <w:pPr>
              <w:spacing w:line="300" w:lineRule="exact"/>
              <w:jc w:val="center"/>
              <w:rPr>
                <w:rFonts w:hint="default"/>
                <w:sz w:val="24"/>
                <w:szCs w:val="24"/>
                <w:lang w:val="en-US" w:eastAsia="zh-CN"/>
              </w:rPr>
            </w:pPr>
            <w:r>
              <w:rPr>
                <w:rFonts w:hint="eastAsia"/>
                <w:sz w:val="24"/>
                <w:szCs w:val="24"/>
                <w:lang w:val="en-US" w:eastAsia="zh-CN"/>
              </w:rPr>
              <w:t>1</w:t>
            </w:r>
          </w:p>
        </w:tc>
        <w:tc>
          <w:tcPr>
            <w:tcW w:w="1875" w:type="dxa"/>
            <w:shd w:val="clear" w:color="auto" w:fill="auto"/>
            <w:noWrap w:val="0"/>
            <w:vAlign w:val="center"/>
          </w:tcPr>
          <w:p w14:paraId="643552A8">
            <w:pPr>
              <w:spacing w:line="300" w:lineRule="exact"/>
              <w:jc w:val="center"/>
              <w:rPr>
                <w:rFonts w:hint="eastAsia" w:ascii="Times New Roman" w:hAnsi="Times New Roman" w:eastAsia="宋体" w:cs="Times New Roman"/>
                <w:bCs/>
                <w:kern w:val="2"/>
                <w:sz w:val="24"/>
                <w:szCs w:val="24"/>
                <w:lang w:val="en-US" w:eastAsia="zh-CN" w:bidi="ar-SA"/>
              </w:rPr>
            </w:pPr>
            <w:r>
              <w:rPr>
                <w:rFonts w:hint="eastAsia"/>
                <w:bCs/>
                <w:sz w:val="24"/>
                <w:szCs w:val="24"/>
                <w:lang w:val="en-US" w:eastAsia="zh-CN"/>
              </w:rPr>
              <w:t>15302174</w:t>
            </w:r>
          </w:p>
        </w:tc>
        <w:tc>
          <w:tcPr>
            <w:tcW w:w="2735" w:type="dxa"/>
            <w:shd w:val="clear" w:color="auto" w:fill="auto"/>
            <w:noWrap w:val="0"/>
            <w:vAlign w:val="center"/>
          </w:tcPr>
          <w:p w14:paraId="0FA690BC">
            <w:pPr>
              <w:spacing w:line="300" w:lineRule="exact"/>
              <w:jc w:val="center"/>
              <w:rPr>
                <w:rFonts w:hint="eastAsia" w:ascii="Times New Roman" w:hAnsi="Times New Roman" w:eastAsia="宋体" w:cs="Times New Roman"/>
                <w:bCs/>
                <w:kern w:val="2"/>
                <w:sz w:val="24"/>
                <w:szCs w:val="24"/>
                <w:lang w:val="en-US" w:eastAsia="zh-CN" w:bidi="ar-SA"/>
              </w:rPr>
            </w:pPr>
            <w:r>
              <w:rPr>
                <w:rFonts w:hint="eastAsia"/>
                <w:bCs/>
                <w:sz w:val="24"/>
                <w:szCs w:val="24"/>
                <w:lang w:val="en-US" w:eastAsia="zh-CN"/>
              </w:rPr>
              <w:t>31704401832019020001</w:t>
            </w:r>
          </w:p>
        </w:tc>
      </w:tr>
      <w:tr w14:paraId="15DB4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2" w:type="dxa"/>
            <w:noWrap w:val="0"/>
            <w:vAlign w:val="center"/>
          </w:tcPr>
          <w:p w14:paraId="0060A9C4">
            <w:pPr>
              <w:spacing w:line="300" w:lineRule="exact"/>
              <w:jc w:val="center"/>
              <w:rPr>
                <w:rFonts w:hint="eastAsia"/>
                <w:sz w:val="24"/>
                <w:szCs w:val="24"/>
                <w:lang w:eastAsia="zh-CN"/>
              </w:rPr>
            </w:pPr>
            <w:r>
              <w:rPr>
                <w:rFonts w:hint="eastAsia"/>
                <w:sz w:val="24"/>
                <w:szCs w:val="24"/>
                <w:lang w:eastAsia="zh-CN"/>
              </w:rPr>
              <w:t>病床电梯</w:t>
            </w:r>
          </w:p>
        </w:tc>
        <w:tc>
          <w:tcPr>
            <w:tcW w:w="1602" w:type="dxa"/>
            <w:noWrap w:val="0"/>
            <w:vAlign w:val="center"/>
          </w:tcPr>
          <w:p w14:paraId="495D2C2C">
            <w:pPr>
              <w:spacing w:line="300" w:lineRule="exact"/>
              <w:jc w:val="center"/>
              <w:rPr>
                <w:rFonts w:hint="eastAsia"/>
                <w:sz w:val="24"/>
                <w:szCs w:val="24"/>
                <w:lang w:eastAsia="zh-CN"/>
              </w:rPr>
            </w:pPr>
            <w:r>
              <w:rPr>
                <w:rFonts w:hint="eastAsia"/>
                <w:sz w:val="24"/>
                <w:szCs w:val="24"/>
                <w:lang w:eastAsia="zh-CN"/>
              </w:rPr>
              <w:t>广日</w:t>
            </w:r>
          </w:p>
        </w:tc>
        <w:tc>
          <w:tcPr>
            <w:tcW w:w="1290" w:type="dxa"/>
            <w:noWrap w:val="0"/>
            <w:vAlign w:val="center"/>
          </w:tcPr>
          <w:p w14:paraId="1901C336">
            <w:pPr>
              <w:spacing w:line="300" w:lineRule="exact"/>
              <w:jc w:val="center"/>
              <w:rPr>
                <w:rFonts w:hint="eastAsia" w:eastAsia="宋体"/>
                <w:sz w:val="24"/>
                <w:szCs w:val="24"/>
                <w:lang w:val="en-US" w:eastAsia="zh-CN"/>
              </w:rPr>
            </w:pPr>
            <w:r>
              <w:rPr>
                <w:rFonts w:hint="eastAsia" w:eastAsia="宋体"/>
                <w:sz w:val="24"/>
                <w:szCs w:val="24"/>
                <w:lang w:val="en-US" w:eastAsia="zh-CN"/>
              </w:rPr>
              <w:t>7/7/7</w:t>
            </w:r>
          </w:p>
        </w:tc>
        <w:tc>
          <w:tcPr>
            <w:tcW w:w="963" w:type="dxa"/>
            <w:noWrap w:val="0"/>
            <w:vAlign w:val="center"/>
          </w:tcPr>
          <w:p w14:paraId="36D7B238">
            <w:pPr>
              <w:spacing w:line="300" w:lineRule="exact"/>
              <w:jc w:val="center"/>
              <w:rPr>
                <w:rFonts w:hint="default"/>
                <w:sz w:val="24"/>
                <w:szCs w:val="24"/>
                <w:lang w:val="en-US" w:eastAsia="zh-CN"/>
              </w:rPr>
            </w:pPr>
            <w:r>
              <w:rPr>
                <w:rFonts w:hint="eastAsia"/>
                <w:sz w:val="24"/>
                <w:szCs w:val="24"/>
                <w:lang w:val="en-US" w:eastAsia="zh-CN"/>
              </w:rPr>
              <w:t>1</w:t>
            </w:r>
          </w:p>
        </w:tc>
        <w:tc>
          <w:tcPr>
            <w:tcW w:w="1875" w:type="dxa"/>
            <w:shd w:val="clear" w:color="auto" w:fill="auto"/>
            <w:noWrap w:val="0"/>
            <w:vAlign w:val="center"/>
          </w:tcPr>
          <w:p w14:paraId="549D602F">
            <w:pPr>
              <w:spacing w:line="300" w:lineRule="exact"/>
              <w:jc w:val="center"/>
              <w:rPr>
                <w:rFonts w:hint="eastAsia" w:ascii="Times New Roman" w:hAnsi="Times New Roman" w:eastAsia="宋体" w:cs="Times New Roman"/>
                <w:bCs/>
                <w:kern w:val="2"/>
                <w:sz w:val="24"/>
                <w:szCs w:val="24"/>
                <w:lang w:val="en-US" w:eastAsia="zh-CN" w:bidi="ar-SA"/>
              </w:rPr>
            </w:pPr>
            <w:r>
              <w:rPr>
                <w:rFonts w:hint="eastAsia"/>
                <w:bCs/>
                <w:sz w:val="24"/>
                <w:szCs w:val="24"/>
                <w:lang w:val="en-US" w:eastAsia="zh-CN"/>
              </w:rPr>
              <w:t>0153807850</w:t>
            </w:r>
          </w:p>
        </w:tc>
        <w:tc>
          <w:tcPr>
            <w:tcW w:w="2735" w:type="dxa"/>
            <w:shd w:val="clear" w:color="auto" w:fill="auto"/>
            <w:noWrap w:val="0"/>
            <w:vAlign w:val="center"/>
          </w:tcPr>
          <w:p w14:paraId="2449676C">
            <w:pPr>
              <w:spacing w:line="300" w:lineRule="exact"/>
              <w:jc w:val="center"/>
              <w:rPr>
                <w:rFonts w:hint="eastAsia" w:ascii="Times New Roman" w:hAnsi="Times New Roman" w:eastAsia="宋体" w:cs="Times New Roman"/>
                <w:bCs/>
                <w:kern w:val="2"/>
                <w:sz w:val="24"/>
                <w:szCs w:val="24"/>
                <w:lang w:val="en-US" w:eastAsia="zh-CN" w:bidi="ar-SA"/>
              </w:rPr>
            </w:pPr>
            <w:r>
              <w:rPr>
                <w:rFonts w:hint="eastAsia"/>
                <w:bCs/>
                <w:sz w:val="24"/>
                <w:szCs w:val="24"/>
                <w:lang w:val="en-US" w:eastAsia="zh-CN"/>
              </w:rPr>
              <w:t>31704401832015100001</w:t>
            </w:r>
          </w:p>
        </w:tc>
      </w:tr>
      <w:tr w14:paraId="51191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2" w:type="dxa"/>
            <w:shd w:val="clear" w:color="auto" w:fill="auto"/>
            <w:noWrap w:val="0"/>
            <w:vAlign w:val="center"/>
          </w:tcPr>
          <w:p w14:paraId="55E02596">
            <w:pPr>
              <w:spacing w:line="300" w:lineRule="exact"/>
              <w:jc w:val="center"/>
              <w:rPr>
                <w:rFonts w:hint="eastAsia" w:ascii="Times New Roman" w:hAnsi="Times New Roman" w:eastAsia="宋体" w:cs="Times New Roman"/>
                <w:kern w:val="2"/>
                <w:sz w:val="24"/>
                <w:szCs w:val="24"/>
                <w:lang w:val="en-US" w:eastAsia="zh-CN" w:bidi="ar-SA"/>
              </w:rPr>
            </w:pPr>
            <w:r>
              <w:rPr>
                <w:rFonts w:hint="eastAsia"/>
                <w:sz w:val="24"/>
                <w:szCs w:val="24"/>
                <w:lang w:eastAsia="zh-CN"/>
              </w:rPr>
              <w:t>病床电梯</w:t>
            </w:r>
          </w:p>
        </w:tc>
        <w:tc>
          <w:tcPr>
            <w:tcW w:w="1602" w:type="dxa"/>
            <w:shd w:val="clear" w:color="auto" w:fill="auto"/>
            <w:noWrap w:val="0"/>
            <w:vAlign w:val="center"/>
          </w:tcPr>
          <w:p w14:paraId="24966F6C">
            <w:pPr>
              <w:spacing w:line="300" w:lineRule="exact"/>
              <w:jc w:val="center"/>
              <w:rPr>
                <w:rFonts w:hint="eastAsia" w:ascii="Times New Roman" w:hAnsi="Times New Roman" w:eastAsia="宋体" w:cs="Times New Roman"/>
                <w:kern w:val="2"/>
                <w:sz w:val="24"/>
                <w:szCs w:val="24"/>
                <w:lang w:val="en-US" w:eastAsia="zh-CN" w:bidi="ar-SA"/>
              </w:rPr>
            </w:pPr>
            <w:r>
              <w:rPr>
                <w:rFonts w:hint="eastAsia"/>
                <w:sz w:val="24"/>
                <w:szCs w:val="24"/>
                <w:lang w:eastAsia="zh-CN"/>
              </w:rPr>
              <w:t>广日</w:t>
            </w:r>
          </w:p>
        </w:tc>
        <w:tc>
          <w:tcPr>
            <w:tcW w:w="1290" w:type="dxa"/>
            <w:noWrap w:val="0"/>
            <w:vAlign w:val="center"/>
          </w:tcPr>
          <w:p w14:paraId="17404F1D">
            <w:pPr>
              <w:spacing w:line="300" w:lineRule="exact"/>
              <w:jc w:val="center"/>
              <w:rPr>
                <w:rFonts w:hint="default" w:eastAsia="宋体"/>
                <w:sz w:val="24"/>
                <w:szCs w:val="24"/>
                <w:lang w:val="en-US" w:eastAsia="zh-CN"/>
              </w:rPr>
            </w:pPr>
            <w:r>
              <w:rPr>
                <w:rFonts w:hint="eastAsia" w:eastAsia="宋体"/>
                <w:sz w:val="24"/>
                <w:szCs w:val="24"/>
                <w:lang w:val="en-US" w:eastAsia="zh-CN"/>
              </w:rPr>
              <w:t>2/2/2</w:t>
            </w:r>
          </w:p>
        </w:tc>
        <w:tc>
          <w:tcPr>
            <w:tcW w:w="963" w:type="dxa"/>
            <w:noWrap w:val="0"/>
            <w:vAlign w:val="center"/>
          </w:tcPr>
          <w:p w14:paraId="4C64AB71">
            <w:pPr>
              <w:spacing w:line="300" w:lineRule="exact"/>
              <w:jc w:val="center"/>
              <w:rPr>
                <w:rFonts w:hint="default"/>
                <w:sz w:val="24"/>
                <w:szCs w:val="24"/>
                <w:lang w:val="en-US" w:eastAsia="zh-CN"/>
              </w:rPr>
            </w:pPr>
            <w:r>
              <w:rPr>
                <w:rFonts w:hint="eastAsia"/>
                <w:sz w:val="24"/>
                <w:szCs w:val="24"/>
                <w:lang w:val="en-US" w:eastAsia="zh-CN"/>
              </w:rPr>
              <w:t>1</w:t>
            </w:r>
          </w:p>
        </w:tc>
        <w:tc>
          <w:tcPr>
            <w:tcW w:w="1875" w:type="dxa"/>
            <w:shd w:val="clear" w:color="auto" w:fill="auto"/>
            <w:noWrap w:val="0"/>
            <w:vAlign w:val="center"/>
          </w:tcPr>
          <w:p w14:paraId="191FC26E">
            <w:pPr>
              <w:spacing w:line="300" w:lineRule="exact"/>
              <w:jc w:val="center"/>
              <w:rPr>
                <w:rFonts w:hint="eastAsia" w:ascii="Times New Roman" w:hAnsi="Times New Roman" w:eastAsia="宋体" w:cs="Times New Roman"/>
                <w:bCs/>
                <w:kern w:val="2"/>
                <w:sz w:val="24"/>
                <w:szCs w:val="24"/>
                <w:lang w:val="en-US" w:eastAsia="zh-CN" w:bidi="ar-SA"/>
              </w:rPr>
            </w:pPr>
            <w:r>
              <w:rPr>
                <w:rFonts w:hint="eastAsia"/>
                <w:bCs/>
                <w:sz w:val="24"/>
                <w:szCs w:val="24"/>
                <w:lang w:val="en-US" w:eastAsia="zh-CN"/>
              </w:rPr>
              <w:t>15303353</w:t>
            </w:r>
          </w:p>
        </w:tc>
        <w:tc>
          <w:tcPr>
            <w:tcW w:w="2735" w:type="dxa"/>
            <w:shd w:val="clear" w:color="auto" w:fill="auto"/>
            <w:noWrap w:val="0"/>
            <w:vAlign w:val="center"/>
          </w:tcPr>
          <w:p w14:paraId="39CCA42B">
            <w:pPr>
              <w:spacing w:line="300" w:lineRule="exact"/>
              <w:jc w:val="center"/>
              <w:rPr>
                <w:rFonts w:hint="eastAsia" w:ascii="Times New Roman" w:hAnsi="Times New Roman" w:eastAsia="宋体" w:cs="Times New Roman"/>
                <w:bCs/>
                <w:kern w:val="2"/>
                <w:sz w:val="24"/>
                <w:szCs w:val="24"/>
                <w:lang w:val="en-US" w:eastAsia="zh-CN" w:bidi="ar-SA"/>
              </w:rPr>
            </w:pPr>
            <w:r>
              <w:rPr>
                <w:rFonts w:hint="eastAsia"/>
                <w:bCs/>
                <w:sz w:val="24"/>
                <w:szCs w:val="24"/>
                <w:lang w:val="en-US" w:eastAsia="zh-CN"/>
              </w:rPr>
              <w:t>31704401832019120001</w:t>
            </w:r>
          </w:p>
        </w:tc>
      </w:tr>
    </w:tbl>
    <w:p w14:paraId="23D9B0B0">
      <w:pPr>
        <w:pStyle w:val="9"/>
        <w:keepNext w:val="0"/>
        <w:keepLines w:val="0"/>
        <w:pageBreakBefore w:val="0"/>
        <w:widowControl/>
        <w:kinsoku/>
        <w:wordWrap/>
        <w:overflowPunct/>
        <w:topLinePunct w:val="0"/>
        <w:autoSpaceDE/>
        <w:autoSpaceDN/>
        <w:bidi w:val="0"/>
        <w:adjustRightInd/>
        <w:snapToGrid/>
        <w:spacing w:line="360" w:lineRule="auto"/>
        <w:ind w:firstLine="562" w:firstLineChars="2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w:t>
      </w:r>
      <w:r>
        <w:rPr>
          <w:rFonts w:hint="eastAsia" w:ascii="仿宋" w:hAnsi="仿宋" w:eastAsia="仿宋" w:cs="仿宋"/>
          <w:b/>
          <w:color w:val="auto"/>
          <w:sz w:val="28"/>
          <w:szCs w:val="28"/>
          <w:highlight w:val="none"/>
          <w:lang w:eastAsia="zh-CN"/>
        </w:rPr>
        <w:t>、</w:t>
      </w:r>
      <w:r>
        <w:rPr>
          <w:rFonts w:hint="eastAsia" w:ascii="仿宋" w:hAnsi="仿宋" w:eastAsia="仿宋" w:cs="仿宋"/>
          <w:b/>
          <w:color w:val="auto"/>
          <w:sz w:val="28"/>
          <w:szCs w:val="28"/>
          <w:highlight w:val="none"/>
        </w:rPr>
        <w:t>总体要求</w:t>
      </w:r>
    </w:p>
    <w:bookmarkEnd w:id="0"/>
    <w:p w14:paraId="34AB8609">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1.成交供应商应严格按照必须严格执行有关行业标准内容对医院5台电梯提供服务。具体内容：（1）按照《电梯维护保养规则》（TSG T5002-2017） 的规定完成半月、季度、半年、年度维保项目（详见附件1），并做好维护保养记录；（2）检修有配件损坏或无法维修的情况下，须及时报价，由采购人确定为维修费用后才能维修；（3）配合电梯检验检测机构对电梯的定期检验，积极配合采购人开展电梯事故应急救援演练，并参与电梯安全管理活动等。</w:t>
      </w:r>
    </w:p>
    <w:p w14:paraId="2A3D4842">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2.成交供应商向采购人提供维护保养记录（含现场维护保养作业照片等）和相关设备维修资料，执业人员维护保养时应当认真如实填写维护保养记录，并由双方签名确认。</w:t>
      </w:r>
    </w:p>
    <w:p w14:paraId="0BBBB6E8">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3.成交供应商维护保养期间</w:t>
      </w:r>
      <w:bookmarkStart w:id="1" w:name="_GoBack"/>
      <w:bookmarkEnd w:id="1"/>
      <w:r>
        <w:rPr>
          <w:rFonts w:hint="eastAsia" w:ascii="仿宋" w:hAnsi="仿宋" w:eastAsia="仿宋" w:cs="仿宋"/>
          <w:color w:val="auto"/>
          <w:sz w:val="28"/>
          <w:szCs w:val="28"/>
          <w:highlight w:val="none"/>
          <w:lang w:val="en-US" w:eastAsia="zh-CN"/>
        </w:rPr>
        <w:t>，必须遵守采购人的规章制度及安全环保等各项规定。成交供应商及其工作人员应保守在为采购人服务期间所获得的技术秘密、商业秘密等。</w:t>
      </w:r>
    </w:p>
    <w:p w14:paraId="0CD10463">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4.供应商为采购人提供服务期间，因维护保养工作所发生的施工人员事故及责任均由供应商负全部责任。</w:t>
      </w:r>
    </w:p>
    <w:p w14:paraId="0D11797D">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5.成交供应商为采购人提供对系统出现故障时，提供24小时的急修服务而不另外收费。</w:t>
      </w:r>
    </w:p>
    <w:p w14:paraId="22782768">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维修过程中，如无须更换零部件，故障由供应商自行处理；如出现设备或零部件损坏，需要更换，所需零部件（常见设备/配件明细及最高限价详见附件2）费用按照成交价由采购人据实支付，若更换配件不在需求清单表内，成交供应商报维修方案及价格给采购人审核确认后进行维修处理。</w:t>
      </w:r>
    </w:p>
    <w:p w14:paraId="4084A544">
      <w:pPr>
        <w:pStyle w:val="5"/>
        <w:spacing w:line="360" w:lineRule="auto"/>
        <w:ind w:left="0" w:leftChars="0" w:firstLine="562" w:firstLineChars="200"/>
        <w:jc w:val="both"/>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三、违约责任:</w:t>
      </w:r>
    </w:p>
    <w:p w14:paraId="6A057AE2">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由于成交供应商接到通知后未能及时对情况做出处理，而造成系统不能尽快恢复使用，每逾期一天，成交供应商应按100元/天向采购人支付违约金，采购人有权在维护保养费用中进行扣除;逾期超过3天的，采购人有权单方面终止本协议，相应责任由成交供应商承担。</w:t>
      </w:r>
    </w:p>
    <w:p w14:paraId="629729CC">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2.由于特殊情况(如雷雨天气等非成交供应商原因所致)，造成维护保养服务拖延或不能正常进行，采购人应按实际情况调整维护保养服务时间和内容，不计入违约之内。</w:t>
      </w:r>
    </w:p>
    <w:p w14:paraId="64BEE158">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3.由于采购人未按时支付维保和配件费用，或未遵循协议中规定的条例，致使成交供应商无法正常进行维护保养工作，成交供应商将有权单方面终止本协议，相应责任由采购人承担。</w:t>
      </w:r>
    </w:p>
    <w:p w14:paraId="103F7533">
      <w:pPr>
        <w:pStyle w:val="5"/>
        <w:spacing w:line="360" w:lineRule="auto"/>
        <w:ind w:left="0" w:leftChars="0" w:firstLine="560" w:firstLineChars="200"/>
        <w:jc w:val="both"/>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4.在服务期间，采购人与成交供应商不得无故取消单方面无故申请终止本项目服务的，需向对方支付违约金，违约金为本项目全额服务费。</w:t>
      </w:r>
    </w:p>
    <w:p w14:paraId="0148D559">
      <w:pPr>
        <w:pStyle w:val="5"/>
        <w:numPr>
          <w:ilvl w:val="0"/>
          <w:numId w:val="0"/>
        </w:numPr>
        <w:spacing w:line="360" w:lineRule="auto"/>
        <w:ind w:firstLine="562" w:firstLineChars="200"/>
        <w:jc w:val="both"/>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kern w:val="2"/>
          <w:sz w:val="28"/>
          <w:szCs w:val="28"/>
          <w:lang w:val="en-US" w:eastAsia="zh-CN" w:bidi="ar-SA"/>
        </w:rPr>
        <w:t>四、付款结算</w:t>
      </w:r>
      <w:r>
        <w:rPr>
          <w:rFonts w:hint="eastAsia" w:ascii="仿宋" w:hAnsi="仿宋" w:eastAsia="仿宋" w:cs="仿宋"/>
          <w:b/>
          <w:bCs/>
          <w:color w:val="auto"/>
          <w:sz w:val="28"/>
          <w:szCs w:val="28"/>
          <w:highlight w:val="none"/>
          <w:lang w:val="en-US" w:eastAsia="zh-CN"/>
        </w:rPr>
        <w:t>：</w:t>
      </w:r>
    </w:p>
    <w:p w14:paraId="59BAA482">
      <w:pPr>
        <w:pStyle w:val="5"/>
        <w:numPr>
          <w:ilvl w:val="0"/>
          <w:numId w:val="0"/>
        </w:numPr>
        <w:spacing w:line="360" w:lineRule="auto"/>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成交供应商按照约定每月进行不少于1次维修保养，所更换零件费用据实结算，经双方验收签名确认后，于每3个月的次月10日前将发票及其他报账资料提交给采购人申请付款，采购人收到发票等付款资料后在5个工作日内办理报账手续。如成交供应商逾期不提供发票，采购人有权顺延付款时间直至对方提供发票之日止。具体支付时间以财务科汇款时间为准。</w:t>
      </w:r>
    </w:p>
    <w:p w14:paraId="6DA87755">
      <w:pPr>
        <w:pStyle w:val="5"/>
        <w:numPr>
          <w:ilvl w:val="0"/>
          <w:numId w:val="0"/>
        </w:numPr>
        <w:spacing w:line="360" w:lineRule="auto"/>
        <w:ind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2.付款方式：银行汇款。</w:t>
      </w:r>
    </w:p>
    <w:p w14:paraId="5FB057BD">
      <w:pPr>
        <w:pStyle w:val="5"/>
        <w:numPr>
          <w:ilvl w:val="0"/>
          <w:numId w:val="0"/>
        </w:numPr>
        <w:spacing w:line="360" w:lineRule="auto"/>
        <w:ind w:firstLine="562" w:firstLineChars="200"/>
        <w:jc w:val="both"/>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kern w:val="2"/>
          <w:sz w:val="28"/>
          <w:szCs w:val="28"/>
          <w:lang w:val="en-US" w:eastAsia="zh-CN" w:bidi="ar-SA"/>
        </w:rPr>
        <w:t>五、</w:t>
      </w:r>
      <w:r>
        <w:rPr>
          <w:rFonts w:hint="eastAsia" w:ascii="仿宋" w:hAnsi="仿宋" w:eastAsia="仿宋" w:cs="仿宋"/>
          <w:b/>
          <w:bCs/>
          <w:color w:val="auto"/>
          <w:sz w:val="28"/>
          <w:szCs w:val="28"/>
          <w:highlight w:val="none"/>
          <w:lang w:val="en-US" w:eastAsia="zh-CN"/>
        </w:rPr>
        <w:t>履约验收：</w:t>
      </w:r>
    </w:p>
    <w:p w14:paraId="53BF145C">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1.维修保养需双方现场查看、确认所有的设备设施均完好，正常运作，并在维保记录单上进行签名确认、验收。</w:t>
      </w:r>
    </w:p>
    <w:p w14:paraId="29304AE0">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采购人和供应商应共同查验更换设备或配件产品的合格证及产品的完好性，并签订签收表。如对查验的配件出现数量不符、缺损或与合同规定不相符等，即为查验不合格，采购人有权拒收货物；供应商应对查验不合格的产品进行无条件免费补齐、调换等，检测直至无疑义，因此而产生的一切费用（含额外的运输费用等）由供应商全部承担。</w:t>
      </w:r>
    </w:p>
    <w:p w14:paraId="3DB58076">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3.验货合格后，供应商应按照采购人要求完成设备安装、调测等工作。若供应商已满足本项目所有供货要求及伴随服务后，供应商可申请组织验收，验收合格后，双方签名确认验收书。</w:t>
      </w:r>
    </w:p>
    <w:p w14:paraId="10690C9B">
      <w:pPr>
        <w:pStyle w:val="5"/>
        <w:spacing w:line="360" w:lineRule="auto"/>
        <w:ind w:left="0" w:leftChars="0" w:firstLine="560" w:firstLineChars="200"/>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供应商供货至现场时须提供包括但不限于以下资料：产品合格证、质保书、产品使用及安装说明书、检测报告。供应商应按照国家有关法律、法规、规章、规范、“三包”规定和买卖双方约定的服务承诺提供服务。因供应商行使产品保修服务义务所产生的一切费用由供应商自行承担。</w:t>
      </w:r>
    </w:p>
    <w:p w14:paraId="1E1106DF">
      <w:pPr>
        <w:widowControl/>
        <w:snapToGrid w:val="0"/>
        <w:spacing w:line="500" w:lineRule="exact"/>
        <w:rPr>
          <w:rFonts w:hint="default" w:ascii="宋体" w:hAnsi="宋体" w:cs="宋体"/>
          <w:color w:val="000000" w:themeColor="text1"/>
          <w:kern w:val="0"/>
          <w:szCs w:val="21"/>
          <w:lang w:val="en-US" w:eastAsia="zh-CN"/>
          <w14:textFill>
            <w14:solidFill>
              <w14:schemeClr w14:val="tx1"/>
            </w14:solidFill>
          </w14:textFill>
        </w:rPr>
      </w:pPr>
    </w:p>
    <w:p w14:paraId="5CCEFD8A">
      <w:pPr>
        <w:widowControl/>
        <w:snapToGrid w:val="0"/>
        <w:spacing w:line="500" w:lineRule="exact"/>
        <w:rPr>
          <w:rFonts w:hint="eastAsia"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附件：1.乘客电梯、载货电梯日常维护保养项目（内容）和要求</w:t>
      </w:r>
    </w:p>
    <w:p w14:paraId="5C24A551">
      <w:pPr>
        <w:widowControl/>
        <w:snapToGrid w:val="0"/>
        <w:spacing w:line="500" w:lineRule="exact"/>
        <w:ind w:firstLine="840" w:firstLineChars="300"/>
        <w:rPr>
          <w:rFonts w:hint="default" w:ascii="仿宋" w:hAnsi="仿宋" w:eastAsia="仿宋" w:cs="仿宋"/>
          <w:color w:val="000000" w:themeColor="text1"/>
          <w:kern w:val="0"/>
          <w:sz w:val="28"/>
          <w:szCs w:val="28"/>
          <w:lang w:val="en-US" w:eastAsia="zh-CN"/>
          <w14:textFill>
            <w14:solidFill>
              <w14:schemeClr w14:val="tx1"/>
            </w14:solidFill>
          </w14:textFill>
        </w:rPr>
      </w:pPr>
      <w:r>
        <w:rPr>
          <w:rFonts w:hint="eastAsia" w:ascii="仿宋" w:hAnsi="仿宋" w:eastAsia="仿宋" w:cs="仿宋"/>
          <w:color w:val="000000" w:themeColor="text1"/>
          <w:kern w:val="0"/>
          <w:sz w:val="28"/>
          <w:szCs w:val="28"/>
          <w:lang w:val="en-US" w:eastAsia="zh-CN"/>
          <w14:textFill>
            <w14:solidFill>
              <w14:schemeClr w14:val="tx1"/>
            </w14:solidFill>
          </w14:textFill>
        </w:rPr>
        <w:t>2.广州市增城区中医医院供电维保配件清单</w:t>
      </w:r>
    </w:p>
    <w:p w14:paraId="7D788287">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10B3EC64">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2BE6E88E">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0D16E37D">
      <w:pPr>
        <w:widowControl/>
        <w:snapToGrid w:val="0"/>
        <w:spacing w:line="500" w:lineRule="exact"/>
        <w:rPr>
          <w:rFonts w:hint="eastAsia" w:ascii="宋体" w:hAnsi="宋体" w:cs="宋体"/>
          <w:color w:val="000000" w:themeColor="text1"/>
          <w:kern w:val="0"/>
          <w:szCs w:val="21"/>
          <w:lang w:val="en-US" w:eastAsia="zh-CN"/>
          <w14:textFill>
            <w14:solidFill>
              <w14:schemeClr w14:val="tx1"/>
            </w14:solidFill>
          </w14:textFill>
        </w:rPr>
      </w:pPr>
    </w:p>
    <w:p w14:paraId="379BB2A6">
      <w:pPr>
        <w:widowControl/>
        <w:snapToGrid w:val="0"/>
        <w:spacing w:line="500" w:lineRule="exact"/>
        <w:rPr>
          <w:rFonts w:hint="eastAsia" w:ascii="黑体" w:hAnsi="黑体" w:eastAsia="黑体" w:cs="黑体"/>
          <w:color w:val="000000" w:themeColor="text1"/>
          <w:kern w:val="0"/>
          <w:sz w:val="28"/>
          <w:szCs w:val="28"/>
          <w:lang w:val="en-US" w:eastAsia="zh-CN"/>
          <w14:textFill>
            <w14:solidFill>
              <w14:schemeClr w14:val="tx1"/>
            </w14:solidFill>
          </w14:textFill>
        </w:rPr>
      </w:pPr>
      <w:r>
        <w:rPr>
          <w:rFonts w:hint="eastAsia" w:ascii="黑体" w:hAnsi="黑体" w:eastAsia="黑体" w:cs="黑体"/>
          <w:color w:val="000000" w:themeColor="text1"/>
          <w:kern w:val="0"/>
          <w:sz w:val="28"/>
          <w:szCs w:val="28"/>
          <w:lang w:val="en-US" w:eastAsia="zh-CN"/>
          <w14:textFill>
            <w14:solidFill>
              <w14:schemeClr w14:val="tx1"/>
            </w14:solidFill>
          </w14:textFill>
        </w:rPr>
        <w:t>附件1</w:t>
      </w:r>
    </w:p>
    <w:p w14:paraId="6C9FE8C4">
      <w:pPr>
        <w:widowControl/>
        <w:snapToGrid w:val="0"/>
        <w:spacing w:line="500" w:lineRule="exact"/>
        <w:jc w:val="center"/>
        <w:rPr>
          <w:rFonts w:hint="eastAsia"/>
          <w:b/>
          <w:sz w:val="28"/>
          <w:szCs w:val="28"/>
        </w:rPr>
      </w:pPr>
      <w:r>
        <w:rPr>
          <w:rFonts w:hint="eastAsia"/>
          <w:b/>
          <w:sz w:val="28"/>
          <w:szCs w:val="28"/>
        </w:rPr>
        <w:t>乘客电梯、载货电梯日常维护保养项目（内容）和要求</w:t>
      </w:r>
    </w:p>
    <w:tbl>
      <w:tblPr>
        <w:tblStyle w:val="7"/>
        <w:tblW w:w="92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
        <w:gridCol w:w="2138"/>
        <w:gridCol w:w="17"/>
        <w:gridCol w:w="2272"/>
        <w:gridCol w:w="278"/>
        <w:gridCol w:w="2068"/>
        <w:gridCol w:w="2223"/>
      </w:tblGrid>
      <w:tr w14:paraId="0C7F1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2417" w:type="dxa"/>
            <w:gridSpan w:val="3"/>
            <w:noWrap w:val="0"/>
            <w:vAlign w:val="center"/>
          </w:tcPr>
          <w:p w14:paraId="02BE3EC7">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rPr>
                <w:rFonts w:hint="eastAsia"/>
                <w:b/>
                <w:sz w:val="18"/>
                <w:szCs w:val="18"/>
                <w:vertAlign w:val="baseline"/>
              </w:rPr>
            </w:pPr>
            <w:r>
              <w:rPr>
                <w:rFonts w:hint="eastAsia"/>
                <w:sz w:val="18"/>
                <w:szCs w:val="18"/>
              </w:rPr>
              <w:t>维保项目</w:t>
            </w:r>
          </w:p>
        </w:tc>
        <w:tc>
          <w:tcPr>
            <w:tcW w:w="2272" w:type="dxa"/>
            <w:noWrap w:val="0"/>
            <w:vAlign w:val="center"/>
          </w:tcPr>
          <w:p w14:paraId="421E16A2">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rPr>
                <w:rFonts w:hint="eastAsia"/>
                <w:b/>
                <w:sz w:val="18"/>
                <w:szCs w:val="18"/>
                <w:vertAlign w:val="baseline"/>
              </w:rPr>
            </w:pPr>
            <w:r>
              <w:rPr>
                <w:rFonts w:hint="eastAsia"/>
                <w:sz w:val="18"/>
                <w:szCs w:val="18"/>
              </w:rPr>
              <w:t>基本要求</w:t>
            </w:r>
          </w:p>
        </w:tc>
        <w:tc>
          <w:tcPr>
            <w:tcW w:w="2346" w:type="dxa"/>
            <w:gridSpan w:val="2"/>
            <w:noWrap w:val="0"/>
            <w:vAlign w:val="center"/>
          </w:tcPr>
          <w:p w14:paraId="59374C85">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rPr>
                <w:rFonts w:hint="eastAsia"/>
                <w:b/>
                <w:sz w:val="18"/>
                <w:szCs w:val="18"/>
                <w:vertAlign w:val="baseline"/>
              </w:rPr>
            </w:pPr>
            <w:r>
              <w:rPr>
                <w:rFonts w:hint="eastAsia"/>
                <w:sz w:val="18"/>
                <w:szCs w:val="18"/>
              </w:rPr>
              <w:t>维保项目</w:t>
            </w:r>
          </w:p>
        </w:tc>
        <w:tc>
          <w:tcPr>
            <w:tcW w:w="2223" w:type="dxa"/>
            <w:noWrap w:val="0"/>
            <w:vAlign w:val="center"/>
          </w:tcPr>
          <w:p w14:paraId="69348D99">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rPr>
                <w:rFonts w:hint="eastAsia"/>
                <w:b/>
                <w:sz w:val="18"/>
                <w:szCs w:val="18"/>
                <w:vertAlign w:val="baseline"/>
              </w:rPr>
            </w:pPr>
            <w:r>
              <w:rPr>
                <w:rFonts w:hint="eastAsia"/>
                <w:sz w:val="18"/>
                <w:szCs w:val="18"/>
              </w:rPr>
              <w:t>基本要求</w:t>
            </w:r>
          </w:p>
        </w:tc>
      </w:tr>
      <w:tr w14:paraId="4AA90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9258" w:type="dxa"/>
            <w:gridSpan w:val="7"/>
            <w:noWrap w:val="0"/>
            <w:vAlign w:val="center"/>
          </w:tcPr>
          <w:p w14:paraId="52255FD7">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b/>
                <w:sz w:val="18"/>
                <w:szCs w:val="18"/>
                <w:vertAlign w:val="baseline"/>
              </w:rPr>
            </w:pPr>
            <w:r>
              <w:rPr>
                <w:rFonts w:hint="eastAsia"/>
                <w:b/>
                <w:sz w:val="18"/>
                <w:szCs w:val="18"/>
              </w:rPr>
              <w:t>半月维保项目（内容）和要求</w:t>
            </w:r>
          </w:p>
        </w:tc>
      </w:tr>
      <w:tr w14:paraId="339E7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262" w:type="dxa"/>
            <w:noWrap w:val="0"/>
            <w:vAlign w:val="center"/>
          </w:tcPr>
          <w:p w14:paraId="20623594">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rPr>
              <w:t>1</w:t>
            </w:r>
          </w:p>
        </w:tc>
        <w:tc>
          <w:tcPr>
            <w:tcW w:w="2138" w:type="dxa"/>
            <w:noWrap w:val="0"/>
            <w:vAlign w:val="center"/>
          </w:tcPr>
          <w:p w14:paraId="3A02789F">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机房、滑轮间环境</w:t>
            </w:r>
          </w:p>
        </w:tc>
        <w:tc>
          <w:tcPr>
            <w:tcW w:w="2289" w:type="dxa"/>
            <w:gridSpan w:val="2"/>
            <w:noWrap w:val="0"/>
            <w:vAlign w:val="center"/>
          </w:tcPr>
          <w:p w14:paraId="3ED7BC1F">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清洁，门窗完好，照明正常</w:t>
            </w:r>
          </w:p>
        </w:tc>
        <w:tc>
          <w:tcPr>
            <w:tcW w:w="278" w:type="dxa"/>
            <w:noWrap w:val="0"/>
            <w:vAlign w:val="center"/>
          </w:tcPr>
          <w:p w14:paraId="10E55825">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rPr>
              <w:t>17</w:t>
            </w:r>
          </w:p>
        </w:tc>
        <w:tc>
          <w:tcPr>
            <w:tcW w:w="2068" w:type="dxa"/>
            <w:noWrap w:val="0"/>
            <w:vAlign w:val="center"/>
          </w:tcPr>
          <w:p w14:paraId="065BEC4E">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轿厢检修开关、停止装置</w:t>
            </w:r>
          </w:p>
        </w:tc>
        <w:tc>
          <w:tcPr>
            <w:tcW w:w="2223" w:type="dxa"/>
            <w:noWrap w:val="0"/>
            <w:vAlign w:val="center"/>
          </w:tcPr>
          <w:p w14:paraId="001B7DC0">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工作正常</w:t>
            </w:r>
          </w:p>
        </w:tc>
      </w:tr>
      <w:tr w14:paraId="4215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262" w:type="dxa"/>
            <w:noWrap w:val="0"/>
            <w:vAlign w:val="center"/>
          </w:tcPr>
          <w:p w14:paraId="4C20D447">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rPr>
              <w:t>2</w:t>
            </w:r>
          </w:p>
        </w:tc>
        <w:tc>
          <w:tcPr>
            <w:tcW w:w="2138" w:type="dxa"/>
            <w:noWrap w:val="0"/>
            <w:vAlign w:val="center"/>
          </w:tcPr>
          <w:p w14:paraId="66202FE5">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手动紧急操作装置</w:t>
            </w:r>
          </w:p>
        </w:tc>
        <w:tc>
          <w:tcPr>
            <w:tcW w:w="2289" w:type="dxa"/>
            <w:gridSpan w:val="2"/>
            <w:noWrap w:val="0"/>
            <w:vAlign w:val="center"/>
          </w:tcPr>
          <w:p w14:paraId="710511CD">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齐全，在指定位置</w:t>
            </w:r>
          </w:p>
        </w:tc>
        <w:tc>
          <w:tcPr>
            <w:tcW w:w="278" w:type="dxa"/>
            <w:noWrap w:val="0"/>
            <w:vAlign w:val="center"/>
          </w:tcPr>
          <w:p w14:paraId="6DF2528F">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rPr>
              <w:t>18</w:t>
            </w:r>
          </w:p>
        </w:tc>
        <w:tc>
          <w:tcPr>
            <w:tcW w:w="2068" w:type="dxa"/>
            <w:noWrap w:val="0"/>
            <w:vAlign w:val="center"/>
          </w:tcPr>
          <w:p w14:paraId="6C9B5423">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轿内报警装置、对讲系统</w:t>
            </w:r>
          </w:p>
        </w:tc>
        <w:tc>
          <w:tcPr>
            <w:tcW w:w="2223" w:type="dxa"/>
            <w:noWrap w:val="0"/>
            <w:vAlign w:val="center"/>
          </w:tcPr>
          <w:p w14:paraId="31F0A51B">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工作正常</w:t>
            </w:r>
          </w:p>
        </w:tc>
      </w:tr>
      <w:tr w14:paraId="1F6E0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262" w:type="dxa"/>
            <w:noWrap w:val="0"/>
            <w:vAlign w:val="center"/>
          </w:tcPr>
          <w:p w14:paraId="3AFAE1F1">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rPr>
              <w:t>3</w:t>
            </w:r>
          </w:p>
        </w:tc>
        <w:tc>
          <w:tcPr>
            <w:tcW w:w="2138" w:type="dxa"/>
            <w:noWrap w:val="0"/>
            <w:vAlign w:val="center"/>
          </w:tcPr>
          <w:p w14:paraId="41AAAF79">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驱动主机</w:t>
            </w:r>
          </w:p>
        </w:tc>
        <w:tc>
          <w:tcPr>
            <w:tcW w:w="2289" w:type="dxa"/>
            <w:gridSpan w:val="2"/>
            <w:noWrap w:val="0"/>
            <w:vAlign w:val="center"/>
          </w:tcPr>
          <w:p w14:paraId="397953C2">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pacing w:val="-4"/>
                <w:sz w:val="18"/>
                <w:szCs w:val="18"/>
                <w:lang w:eastAsia="zh-CN"/>
              </w:rPr>
              <w:t>运行时无异常振动和异常声响</w:t>
            </w:r>
          </w:p>
        </w:tc>
        <w:tc>
          <w:tcPr>
            <w:tcW w:w="278" w:type="dxa"/>
            <w:noWrap w:val="0"/>
            <w:vAlign w:val="center"/>
          </w:tcPr>
          <w:p w14:paraId="033CD940">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rPr>
              <w:t>19</w:t>
            </w:r>
          </w:p>
        </w:tc>
        <w:tc>
          <w:tcPr>
            <w:tcW w:w="2068" w:type="dxa"/>
            <w:noWrap w:val="0"/>
            <w:vAlign w:val="center"/>
          </w:tcPr>
          <w:p w14:paraId="6E211EA1">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pacing w:val="-17"/>
                <w:sz w:val="18"/>
                <w:szCs w:val="18"/>
                <w:lang w:eastAsia="zh-CN"/>
              </w:rPr>
              <w:t>轿内显示、指令按钮、</w:t>
            </w:r>
            <w:r>
              <w:rPr>
                <w:rFonts w:hint="eastAsia"/>
                <w:spacing w:val="-17"/>
                <w:sz w:val="18"/>
                <w:szCs w:val="18"/>
                <w:lang w:val="en-US" w:eastAsia="zh-CN"/>
              </w:rPr>
              <w:t>IC卡系统</w:t>
            </w:r>
          </w:p>
        </w:tc>
        <w:tc>
          <w:tcPr>
            <w:tcW w:w="2223" w:type="dxa"/>
            <w:noWrap w:val="0"/>
            <w:vAlign w:val="center"/>
          </w:tcPr>
          <w:p w14:paraId="7D35C691">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齐全，有效</w:t>
            </w:r>
          </w:p>
        </w:tc>
      </w:tr>
      <w:tr w14:paraId="6DDA8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262" w:type="dxa"/>
            <w:noWrap w:val="0"/>
            <w:vAlign w:val="center"/>
          </w:tcPr>
          <w:p w14:paraId="5C1F1524">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rPr>
              <w:t>4</w:t>
            </w:r>
          </w:p>
        </w:tc>
        <w:tc>
          <w:tcPr>
            <w:tcW w:w="2138" w:type="dxa"/>
            <w:noWrap w:val="0"/>
            <w:vAlign w:val="center"/>
          </w:tcPr>
          <w:p w14:paraId="707A41B6">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制动器各销轴部位</w:t>
            </w:r>
          </w:p>
        </w:tc>
        <w:tc>
          <w:tcPr>
            <w:tcW w:w="2289" w:type="dxa"/>
            <w:gridSpan w:val="2"/>
            <w:noWrap w:val="0"/>
            <w:vAlign w:val="center"/>
          </w:tcPr>
          <w:p w14:paraId="06B60973">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动作灵活</w:t>
            </w:r>
          </w:p>
        </w:tc>
        <w:tc>
          <w:tcPr>
            <w:tcW w:w="278" w:type="dxa"/>
            <w:noWrap w:val="0"/>
            <w:vAlign w:val="center"/>
          </w:tcPr>
          <w:p w14:paraId="7C094ABE">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rPr>
              <w:t>20</w:t>
            </w:r>
          </w:p>
        </w:tc>
        <w:tc>
          <w:tcPr>
            <w:tcW w:w="2068" w:type="dxa"/>
            <w:noWrap w:val="0"/>
            <w:vAlign w:val="center"/>
          </w:tcPr>
          <w:p w14:paraId="0A25E475">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spacing w:val="-5"/>
                <w:sz w:val="18"/>
                <w:szCs w:val="18"/>
                <w:lang w:eastAsia="zh-CN"/>
              </w:rPr>
            </w:pPr>
            <w:r>
              <w:rPr>
                <w:rFonts w:hint="eastAsia"/>
                <w:spacing w:val="-5"/>
                <w:sz w:val="18"/>
                <w:szCs w:val="18"/>
                <w:lang w:eastAsia="zh-CN"/>
              </w:rPr>
              <w:t>轿门防撞击保护装置（安全触板，光幕、光电等）</w:t>
            </w:r>
          </w:p>
        </w:tc>
        <w:tc>
          <w:tcPr>
            <w:tcW w:w="2223" w:type="dxa"/>
            <w:noWrap w:val="0"/>
            <w:vAlign w:val="center"/>
          </w:tcPr>
          <w:p w14:paraId="5EBC0FAD">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功能有效</w:t>
            </w:r>
          </w:p>
        </w:tc>
      </w:tr>
      <w:tr w14:paraId="7A2F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262" w:type="dxa"/>
            <w:noWrap w:val="0"/>
            <w:vAlign w:val="center"/>
          </w:tcPr>
          <w:p w14:paraId="53AC400B">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rPr>
              <w:t>5</w:t>
            </w:r>
          </w:p>
        </w:tc>
        <w:tc>
          <w:tcPr>
            <w:tcW w:w="2138" w:type="dxa"/>
            <w:noWrap w:val="0"/>
            <w:vAlign w:val="center"/>
          </w:tcPr>
          <w:p w14:paraId="182A1BBF">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制动器间隙</w:t>
            </w:r>
          </w:p>
        </w:tc>
        <w:tc>
          <w:tcPr>
            <w:tcW w:w="2289" w:type="dxa"/>
            <w:gridSpan w:val="2"/>
            <w:noWrap w:val="0"/>
            <w:vAlign w:val="center"/>
          </w:tcPr>
          <w:p w14:paraId="2B3B3B22">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pacing w:val="-5"/>
                <w:sz w:val="18"/>
                <w:szCs w:val="18"/>
                <w:vertAlign w:val="baseline"/>
              </w:rPr>
            </w:pPr>
            <w:r>
              <w:rPr>
                <w:rFonts w:hint="eastAsia"/>
                <w:spacing w:val="-5"/>
                <w:sz w:val="18"/>
                <w:szCs w:val="18"/>
                <w:lang w:eastAsia="zh-CN"/>
              </w:rPr>
              <w:t>打开时制动衬与制动轮不应发生摩擦，间隙值符合制造单位要求</w:t>
            </w:r>
          </w:p>
        </w:tc>
        <w:tc>
          <w:tcPr>
            <w:tcW w:w="278" w:type="dxa"/>
            <w:noWrap w:val="0"/>
            <w:vAlign w:val="center"/>
          </w:tcPr>
          <w:p w14:paraId="2F4F0ED2">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lang w:val="en-US" w:eastAsia="zh-CN"/>
              </w:rPr>
              <w:t>21</w:t>
            </w:r>
          </w:p>
        </w:tc>
        <w:tc>
          <w:tcPr>
            <w:tcW w:w="2068" w:type="dxa"/>
            <w:noWrap w:val="0"/>
            <w:vAlign w:val="center"/>
          </w:tcPr>
          <w:p w14:paraId="72AF512A">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轿门门锁电气触点</w:t>
            </w:r>
          </w:p>
        </w:tc>
        <w:tc>
          <w:tcPr>
            <w:tcW w:w="2223" w:type="dxa"/>
            <w:noWrap w:val="0"/>
            <w:vAlign w:val="center"/>
          </w:tcPr>
          <w:p w14:paraId="1D047177">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pacing w:val="-11"/>
                <w:sz w:val="18"/>
                <w:szCs w:val="18"/>
                <w:lang w:eastAsia="zh-CN"/>
              </w:rPr>
              <w:t>清洁，触点接触良好，接线可靠</w:t>
            </w:r>
          </w:p>
        </w:tc>
      </w:tr>
      <w:tr w14:paraId="73973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262" w:type="dxa"/>
            <w:noWrap w:val="0"/>
            <w:vAlign w:val="center"/>
          </w:tcPr>
          <w:p w14:paraId="1F5C0DF5">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rPr>
              <w:t>6</w:t>
            </w:r>
          </w:p>
        </w:tc>
        <w:tc>
          <w:tcPr>
            <w:tcW w:w="2138" w:type="dxa"/>
            <w:noWrap w:val="0"/>
            <w:vAlign w:val="center"/>
          </w:tcPr>
          <w:p w14:paraId="0D01747E">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pacing w:val="-5"/>
                <w:sz w:val="18"/>
                <w:szCs w:val="18"/>
                <w:vertAlign w:val="baseline"/>
              </w:rPr>
            </w:pPr>
            <w:r>
              <w:rPr>
                <w:rFonts w:hint="eastAsia"/>
                <w:spacing w:val="-5"/>
                <w:sz w:val="18"/>
                <w:szCs w:val="18"/>
                <w:lang w:eastAsia="zh-CN"/>
              </w:rPr>
              <w:t>制动器作为轿厢意外移动保护装置制停子系统时的自监测</w:t>
            </w:r>
          </w:p>
        </w:tc>
        <w:tc>
          <w:tcPr>
            <w:tcW w:w="2289" w:type="dxa"/>
            <w:gridSpan w:val="2"/>
            <w:noWrap w:val="0"/>
            <w:vAlign w:val="center"/>
          </w:tcPr>
          <w:p w14:paraId="6BF7FE9E">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5"/>
                <w:szCs w:val="15"/>
                <w:vertAlign w:val="baseline"/>
              </w:rPr>
            </w:pPr>
            <w:r>
              <w:rPr>
                <w:rFonts w:hint="eastAsia"/>
                <w:sz w:val="15"/>
                <w:szCs w:val="15"/>
                <w:lang w:eastAsia="zh-CN"/>
              </w:rPr>
              <w:t>制动力人工方式检测符合使用维护说明书要求；制动力自监测系统有记录</w:t>
            </w:r>
          </w:p>
        </w:tc>
        <w:tc>
          <w:tcPr>
            <w:tcW w:w="278" w:type="dxa"/>
            <w:noWrap w:val="0"/>
            <w:vAlign w:val="center"/>
          </w:tcPr>
          <w:p w14:paraId="1F027ECF">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lang w:val="en-US" w:eastAsia="zh-CN"/>
              </w:rPr>
              <w:t>22</w:t>
            </w:r>
          </w:p>
        </w:tc>
        <w:tc>
          <w:tcPr>
            <w:tcW w:w="2068" w:type="dxa"/>
            <w:noWrap w:val="0"/>
            <w:vAlign w:val="center"/>
          </w:tcPr>
          <w:p w14:paraId="227B0C8F">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轿门运行</w:t>
            </w:r>
          </w:p>
        </w:tc>
        <w:tc>
          <w:tcPr>
            <w:tcW w:w="2223" w:type="dxa"/>
            <w:noWrap w:val="0"/>
            <w:vAlign w:val="center"/>
          </w:tcPr>
          <w:p w14:paraId="0F27AA5B">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开启和关闭工作正常</w:t>
            </w:r>
          </w:p>
        </w:tc>
      </w:tr>
      <w:tr w14:paraId="5E80C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262" w:type="dxa"/>
            <w:noWrap w:val="0"/>
            <w:vAlign w:val="center"/>
          </w:tcPr>
          <w:p w14:paraId="4DDD6988">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rPr>
              <w:t>7</w:t>
            </w:r>
          </w:p>
        </w:tc>
        <w:tc>
          <w:tcPr>
            <w:tcW w:w="2138" w:type="dxa"/>
            <w:noWrap w:val="0"/>
            <w:vAlign w:val="center"/>
          </w:tcPr>
          <w:p w14:paraId="4CEC1096">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编码器</w:t>
            </w:r>
          </w:p>
        </w:tc>
        <w:tc>
          <w:tcPr>
            <w:tcW w:w="2289" w:type="dxa"/>
            <w:gridSpan w:val="2"/>
            <w:noWrap w:val="0"/>
            <w:vAlign w:val="center"/>
          </w:tcPr>
          <w:p w14:paraId="1E9713EF">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清洁，安装牢固</w:t>
            </w:r>
          </w:p>
        </w:tc>
        <w:tc>
          <w:tcPr>
            <w:tcW w:w="278" w:type="dxa"/>
            <w:noWrap w:val="0"/>
            <w:vAlign w:val="center"/>
          </w:tcPr>
          <w:p w14:paraId="506FE36C">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lang w:val="en-US" w:eastAsia="zh-CN"/>
              </w:rPr>
              <w:t>23</w:t>
            </w:r>
          </w:p>
        </w:tc>
        <w:tc>
          <w:tcPr>
            <w:tcW w:w="2068" w:type="dxa"/>
            <w:noWrap w:val="0"/>
            <w:vAlign w:val="center"/>
          </w:tcPr>
          <w:p w14:paraId="51E7A8D0">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轿厢平层准确度</w:t>
            </w:r>
          </w:p>
        </w:tc>
        <w:tc>
          <w:tcPr>
            <w:tcW w:w="2223" w:type="dxa"/>
            <w:noWrap w:val="0"/>
            <w:vAlign w:val="center"/>
          </w:tcPr>
          <w:p w14:paraId="55BB5DAF">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符合标准值</w:t>
            </w:r>
          </w:p>
        </w:tc>
      </w:tr>
      <w:tr w14:paraId="77B03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262" w:type="dxa"/>
            <w:noWrap w:val="0"/>
            <w:vAlign w:val="center"/>
          </w:tcPr>
          <w:p w14:paraId="0967A1CE">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rPr>
              <w:t>8</w:t>
            </w:r>
          </w:p>
        </w:tc>
        <w:tc>
          <w:tcPr>
            <w:tcW w:w="2138" w:type="dxa"/>
            <w:noWrap w:val="0"/>
            <w:vAlign w:val="center"/>
          </w:tcPr>
          <w:p w14:paraId="2A90BD5A">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限速器各销轴部位</w:t>
            </w:r>
          </w:p>
        </w:tc>
        <w:tc>
          <w:tcPr>
            <w:tcW w:w="2289" w:type="dxa"/>
            <w:gridSpan w:val="2"/>
            <w:noWrap w:val="0"/>
            <w:vAlign w:val="center"/>
          </w:tcPr>
          <w:p w14:paraId="718F425A">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pacing w:val="-11"/>
                <w:sz w:val="18"/>
                <w:szCs w:val="18"/>
                <w:lang w:eastAsia="zh-CN"/>
              </w:rPr>
              <w:t>润滑，转动灵活；电气开关正常</w:t>
            </w:r>
          </w:p>
        </w:tc>
        <w:tc>
          <w:tcPr>
            <w:tcW w:w="278" w:type="dxa"/>
            <w:noWrap w:val="0"/>
            <w:vAlign w:val="center"/>
          </w:tcPr>
          <w:p w14:paraId="4FB0CFDA">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24</w:t>
            </w:r>
          </w:p>
        </w:tc>
        <w:tc>
          <w:tcPr>
            <w:tcW w:w="2068" w:type="dxa"/>
            <w:noWrap w:val="0"/>
            <w:vAlign w:val="center"/>
          </w:tcPr>
          <w:p w14:paraId="0A4FB787">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层站召唤、层楼显示</w:t>
            </w:r>
          </w:p>
        </w:tc>
        <w:tc>
          <w:tcPr>
            <w:tcW w:w="2223" w:type="dxa"/>
            <w:noWrap w:val="0"/>
            <w:vAlign w:val="center"/>
          </w:tcPr>
          <w:p w14:paraId="3C468BA7">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齐全，有效</w:t>
            </w:r>
          </w:p>
        </w:tc>
      </w:tr>
      <w:tr w14:paraId="43C4D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262" w:type="dxa"/>
            <w:noWrap w:val="0"/>
            <w:vAlign w:val="center"/>
          </w:tcPr>
          <w:p w14:paraId="39CDB7F1">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rPr>
              <w:t>9</w:t>
            </w:r>
          </w:p>
        </w:tc>
        <w:tc>
          <w:tcPr>
            <w:tcW w:w="2138" w:type="dxa"/>
            <w:noWrap w:val="0"/>
            <w:vAlign w:val="center"/>
          </w:tcPr>
          <w:p w14:paraId="14E79028">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层门和轿门旁路装置</w:t>
            </w:r>
          </w:p>
        </w:tc>
        <w:tc>
          <w:tcPr>
            <w:tcW w:w="2289" w:type="dxa"/>
            <w:gridSpan w:val="2"/>
            <w:noWrap w:val="0"/>
            <w:vAlign w:val="center"/>
          </w:tcPr>
          <w:p w14:paraId="0980AFA2">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工作正常</w:t>
            </w:r>
          </w:p>
        </w:tc>
        <w:tc>
          <w:tcPr>
            <w:tcW w:w="278" w:type="dxa"/>
            <w:noWrap w:val="0"/>
            <w:vAlign w:val="center"/>
          </w:tcPr>
          <w:p w14:paraId="38BC99CC">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25</w:t>
            </w:r>
          </w:p>
        </w:tc>
        <w:tc>
          <w:tcPr>
            <w:tcW w:w="2068" w:type="dxa"/>
            <w:noWrap w:val="0"/>
            <w:vAlign w:val="center"/>
          </w:tcPr>
          <w:p w14:paraId="383CA1CF">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层门地坎</w:t>
            </w:r>
          </w:p>
        </w:tc>
        <w:tc>
          <w:tcPr>
            <w:tcW w:w="2223" w:type="dxa"/>
            <w:noWrap w:val="0"/>
            <w:vAlign w:val="center"/>
          </w:tcPr>
          <w:p w14:paraId="2A00C90C">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清洁</w:t>
            </w:r>
          </w:p>
        </w:tc>
      </w:tr>
      <w:tr w14:paraId="42555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262" w:type="dxa"/>
            <w:noWrap w:val="0"/>
            <w:vAlign w:val="center"/>
          </w:tcPr>
          <w:p w14:paraId="7FC8E24B">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rPr>
              <w:t>10</w:t>
            </w:r>
          </w:p>
        </w:tc>
        <w:tc>
          <w:tcPr>
            <w:tcW w:w="2138" w:type="dxa"/>
            <w:noWrap w:val="0"/>
            <w:vAlign w:val="center"/>
          </w:tcPr>
          <w:p w14:paraId="66596931">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紧急电动运行</w:t>
            </w:r>
          </w:p>
        </w:tc>
        <w:tc>
          <w:tcPr>
            <w:tcW w:w="2289" w:type="dxa"/>
            <w:gridSpan w:val="2"/>
            <w:noWrap w:val="0"/>
            <w:vAlign w:val="center"/>
          </w:tcPr>
          <w:p w14:paraId="010750C2">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工作正常</w:t>
            </w:r>
          </w:p>
        </w:tc>
        <w:tc>
          <w:tcPr>
            <w:tcW w:w="278" w:type="dxa"/>
            <w:noWrap w:val="0"/>
            <w:vAlign w:val="center"/>
          </w:tcPr>
          <w:p w14:paraId="224BC0B3">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26</w:t>
            </w:r>
          </w:p>
        </w:tc>
        <w:tc>
          <w:tcPr>
            <w:tcW w:w="2068" w:type="dxa"/>
            <w:noWrap w:val="0"/>
            <w:vAlign w:val="center"/>
          </w:tcPr>
          <w:p w14:paraId="2A35482F">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层门自动关门装置</w:t>
            </w:r>
          </w:p>
        </w:tc>
        <w:tc>
          <w:tcPr>
            <w:tcW w:w="2223" w:type="dxa"/>
            <w:noWrap w:val="0"/>
            <w:vAlign w:val="center"/>
          </w:tcPr>
          <w:p w14:paraId="604BCFC4">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正常</w:t>
            </w:r>
          </w:p>
        </w:tc>
      </w:tr>
      <w:tr w14:paraId="3F627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262" w:type="dxa"/>
            <w:noWrap w:val="0"/>
            <w:vAlign w:val="center"/>
          </w:tcPr>
          <w:p w14:paraId="6927C264">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rPr>
              <w:t>11</w:t>
            </w:r>
          </w:p>
        </w:tc>
        <w:tc>
          <w:tcPr>
            <w:tcW w:w="2138" w:type="dxa"/>
            <w:noWrap w:val="0"/>
            <w:vAlign w:val="center"/>
          </w:tcPr>
          <w:p w14:paraId="6D95A6D6">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轿顶</w:t>
            </w:r>
          </w:p>
        </w:tc>
        <w:tc>
          <w:tcPr>
            <w:tcW w:w="2289" w:type="dxa"/>
            <w:gridSpan w:val="2"/>
            <w:noWrap w:val="0"/>
            <w:vAlign w:val="center"/>
          </w:tcPr>
          <w:p w14:paraId="68F00AFE">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清洁，防护栏安全可靠</w:t>
            </w:r>
          </w:p>
        </w:tc>
        <w:tc>
          <w:tcPr>
            <w:tcW w:w="278" w:type="dxa"/>
            <w:noWrap w:val="0"/>
            <w:vAlign w:val="center"/>
          </w:tcPr>
          <w:p w14:paraId="6245D410">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27</w:t>
            </w:r>
          </w:p>
        </w:tc>
        <w:tc>
          <w:tcPr>
            <w:tcW w:w="2068" w:type="dxa"/>
            <w:noWrap w:val="0"/>
            <w:vAlign w:val="center"/>
          </w:tcPr>
          <w:p w14:paraId="7372DCCD">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层门门锁自动复位</w:t>
            </w:r>
          </w:p>
        </w:tc>
        <w:tc>
          <w:tcPr>
            <w:tcW w:w="2223" w:type="dxa"/>
            <w:noWrap w:val="0"/>
            <w:vAlign w:val="center"/>
          </w:tcPr>
          <w:p w14:paraId="5FC81DC6">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pacing w:val="-4"/>
                <w:sz w:val="18"/>
                <w:szCs w:val="18"/>
                <w:lang w:eastAsia="zh-CN"/>
              </w:rPr>
              <w:t>用层门钥匙打开手动开锁装置释放后，层门门锁能自动复位</w:t>
            </w:r>
          </w:p>
        </w:tc>
      </w:tr>
      <w:tr w14:paraId="6DD7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262" w:type="dxa"/>
            <w:noWrap w:val="0"/>
            <w:vAlign w:val="center"/>
          </w:tcPr>
          <w:p w14:paraId="49B9161E">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rPr>
              <w:t>12</w:t>
            </w:r>
          </w:p>
        </w:tc>
        <w:tc>
          <w:tcPr>
            <w:tcW w:w="2138" w:type="dxa"/>
            <w:noWrap w:val="0"/>
            <w:vAlign w:val="center"/>
          </w:tcPr>
          <w:p w14:paraId="18317DCF">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轿顶检修开关、停止装置</w:t>
            </w:r>
          </w:p>
        </w:tc>
        <w:tc>
          <w:tcPr>
            <w:tcW w:w="2289" w:type="dxa"/>
            <w:gridSpan w:val="2"/>
            <w:noWrap w:val="0"/>
            <w:vAlign w:val="center"/>
          </w:tcPr>
          <w:p w14:paraId="43670FD2">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工作正常</w:t>
            </w:r>
          </w:p>
        </w:tc>
        <w:tc>
          <w:tcPr>
            <w:tcW w:w="278" w:type="dxa"/>
            <w:noWrap w:val="0"/>
            <w:vAlign w:val="center"/>
          </w:tcPr>
          <w:p w14:paraId="5B7E7AE6">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28</w:t>
            </w:r>
          </w:p>
        </w:tc>
        <w:tc>
          <w:tcPr>
            <w:tcW w:w="2068" w:type="dxa"/>
            <w:noWrap w:val="0"/>
            <w:vAlign w:val="center"/>
          </w:tcPr>
          <w:p w14:paraId="15B566AF">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层门门锁电气触点</w:t>
            </w:r>
          </w:p>
        </w:tc>
        <w:tc>
          <w:tcPr>
            <w:tcW w:w="2223" w:type="dxa"/>
            <w:noWrap w:val="0"/>
            <w:vAlign w:val="center"/>
          </w:tcPr>
          <w:p w14:paraId="0114AF38">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pacing w:val="-11"/>
                <w:sz w:val="18"/>
                <w:szCs w:val="18"/>
                <w:lang w:eastAsia="zh-CN"/>
              </w:rPr>
              <w:t>清洁，触点接触良好，接线可靠</w:t>
            </w:r>
          </w:p>
        </w:tc>
      </w:tr>
      <w:tr w14:paraId="733B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262" w:type="dxa"/>
            <w:noWrap w:val="0"/>
            <w:vAlign w:val="center"/>
          </w:tcPr>
          <w:p w14:paraId="77829262">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rPr>
              <w:t>13</w:t>
            </w:r>
          </w:p>
        </w:tc>
        <w:tc>
          <w:tcPr>
            <w:tcW w:w="2138" w:type="dxa"/>
            <w:noWrap w:val="0"/>
            <w:vAlign w:val="center"/>
          </w:tcPr>
          <w:p w14:paraId="7DFAB154">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导靴上油杯</w:t>
            </w:r>
          </w:p>
        </w:tc>
        <w:tc>
          <w:tcPr>
            <w:tcW w:w="2289" w:type="dxa"/>
            <w:gridSpan w:val="2"/>
            <w:noWrap w:val="0"/>
            <w:vAlign w:val="center"/>
          </w:tcPr>
          <w:p w14:paraId="09F15FD3">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吸油毛毡齐全，油量适宜，油杯无泄漏</w:t>
            </w:r>
          </w:p>
        </w:tc>
        <w:tc>
          <w:tcPr>
            <w:tcW w:w="278" w:type="dxa"/>
            <w:noWrap w:val="0"/>
            <w:vAlign w:val="center"/>
          </w:tcPr>
          <w:p w14:paraId="73FB6E29">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29</w:t>
            </w:r>
          </w:p>
        </w:tc>
        <w:tc>
          <w:tcPr>
            <w:tcW w:w="2068" w:type="dxa"/>
            <w:noWrap w:val="0"/>
            <w:vAlign w:val="center"/>
          </w:tcPr>
          <w:p w14:paraId="00608007">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层门锁紧元件啮合长度</w:t>
            </w:r>
          </w:p>
        </w:tc>
        <w:tc>
          <w:tcPr>
            <w:tcW w:w="2223" w:type="dxa"/>
            <w:noWrap w:val="0"/>
            <w:vAlign w:val="center"/>
          </w:tcPr>
          <w:p w14:paraId="4784536A">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不小于</w:t>
            </w:r>
            <w:r>
              <w:rPr>
                <w:rFonts w:hint="eastAsia"/>
                <w:sz w:val="18"/>
                <w:szCs w:val="18"/>
                <w:lang w:val="en-US" w:eastAsia="zh-CN"/>
              </w:rPr>
              <w:t>7mm</w:t>
            </w:r>
          </w:p>
        </w:tc>
      </w:tr>
      <w:tr w14:paraId="0CE52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262" w:type="dxa"/>
            <w:noWrap w:val="0"/>
            <w:vAlign w:val="center"/>
          </w:tcPr>
          <w:p w14:paraId="56F459DD">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rPr>
              <w:t>14</w:t>
            </w:r>
          </w:p>
        </w:tc>
        <w:tc>
          <w:tcPr>
            <w:tcW w:w="2138" w:type="dxa"/>
            <w:noWrap w:val="0"/>
            <w:vAlign w:val="center"/>
          </w:tcPr>
          <w:p w14:paraId="1440C061">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对重</w:t>
            </w:r>
            <w:r>
              <w:rPr>
                <w:rFonts w:hint="eastAsia"/>
                <w:sz w:val="18"/>
                <w:szCs w:val="18"/>
                <w:lang w:val="en-US" w:eastAsia="zh-CN"/>
              </w:rPr>
              <w:t>/平衡重块及其压板</w:t>
            </w:r>
          </w:p>
        </w:tc>
        <w:tc>
          <w:tcPr>
            <w:tcW w:w="2289" w:type="dxa"/>
            <w:gridSpan w:val="2"/>
            <w:noWrap w:val="0"/>
            <w:vAlign w:val="center"/>
          </w:tcPr>
          <w:p w14:paraId="4CA1ECCF">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pacing w:val="-11"/>
                <w:sz w:val="18"/>
                <w:szCs w:val="18"/>
                <w:lang w:eastAsia="zh-CN"/>
              </w:rPr>
              <w:t>对重</w:t>
            </w:r>
            <w:r>
              <w:rPr>
                <w:rFonts w:hint="eastAsia"/>
                <w:spacing w:val="-11"/>
                <w:sz w:val="18"/>
                <w:szCs w:val="18"/>
                <w:lang w:val="en-US" w:eastAsia="zh-CN"/>
              </w:rPr>
              <w:t>/平衡重块无松动，压板坚固</w:t>
            </w:r>
          </w:p>
        </w:tc>
        <w:tc>
          <w:tcPr>
            <w:tcW w:w="278" w:type="dxa"/>
            <w:noWrap w:val="0"/>
            <w:vAlign w:val="center"/>
          </w:tcPr>
          <w:p w14:paraId="54338511">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30</w:t>
            </w:r>
          </w:p>
        </w:tc>
        <w:tc>
          <w:tcPr>
            <w:tcW w:w="2068" w:type="dxa"/>
            <w:noWrap w:val="0"/>
            <w:vAlign w:val="center"/>
          </w:tcPr>
          <w:p w14:paraId="4E01EF39">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底坑环境</w:t>
            </w:r>
          </w:p>
        </w:tc>
        <w:tc>
          <w:tcPr>
            <w:tcW w:w="2223" w:type="dxa"/>
            <w:noWrap w:val="0"/>
            <w:vAlign w:val="center"/>
          </w:tcPr>
          <w:p w14:paraId="00BCC672">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pacing w:val="-11"/>
                <w:sz w:val="18"/>
                <w:szCs w:val="18"/>
                <w:lang w:eastAsia="zh-CN"/>
              </w:rPr>
              <w:t>清洁，元渗水、积水，照明正常</w:t>
            </w:r>
          </w:p>
        </w:tc>
      </w:tr>
      <w:tr w14:paraId="12E18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262" w:type="dxa"/>
            <w:noWrap w:val="0"/>
            <w:vAlign w:val="center"/>
          </w:tcPr>
          <w:p w14:paraId="13C7F892">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rPr>
              <w:t>15</w:t>
            </w:r>
          </w:p>
        </w:tc>
        <w:tc>
          <w:tcPr>
            <w:tcW w:w="2138" w:type="dxa"/>
            <w:noWrap w:val="0"/>
            <w:vAlign w:val="center"/>
          </w:tcPr>
          <w:p w14:paraId="5A5BE48D">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井道照明</w:t>
            </w:r>
          </w:p>
        </w:tc>
        <w:tc>
          <w:tcPr>
            <w:tcW w:w="2289" w:type="dxa"/>
            <w:gridSpan w:val="2"/>
            <w:noWrap w:val="0"/>
            <w:vAlign w:val="center"/>
          </w:tcPr>
          <w:p w14:paraId="01F98DE1">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齐全，正常</w:t>
            </w:r>
          </w:p>
        </w:tc>
        <w:tc>
          <w:tcPr>
            <w:tcW w:w="278" w:type="dxa"/>
            <w:noWrap w:val="0"/>
            <w:vAlign w:val="center"/>
          </w:tcPr>
          <w:p w14:paraId="096EFB70">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31</w:t>
            </w:r>
          </w:p>
        </w:tc>
        <w:tc>
          <w:tcPr>
            <w:tcW w:w="2068" w:type="dxa"/>
            <w:noWrap w:val="0"/>
            <w:vAlign w:val="center"/>
          </w:tcPr>
          <w:p w14:paraId="5B4E281D">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底坑停止装置</w:t>
            </w:r>
          </w:p>
        </w:tc>
        <w:tc>
          <w:tcPr>
            <w:tcW w:w="2223" w:type="dxa"/>
            <w:noWrap w:val="0"/>
            <w:vAlign w:val="center"/>
          </w:tcPr>
          <w:p w14:paraId="15D343CF">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工作正常</w:t>
            </w:r>
          </w:p>
        </w:tc>
      </w:tr>
      <w:tr w14:paraId="5ABAF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262" w:type="dxa"/>
            <w:noWrap w:val="0"/>
            <w:vAlign w:val="center"/>
          </w:tcPr>
          <w:p w14:paraId="4E606E86">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jc w:val="center"/>
              <w:textAlignment w:val="auto"/>
              <w:outlineLvl w:val="9"/>
              <w:rPr>
                <w:rFonts w:hint="eastAsia"/>
                <w:b/>
                <w:sz w:val="18"/>
                <w:szCs w:val="18"/>
                <w:vertAlign w:val="baseline"/>
              </w:rPr>
            </w:pPr>
            <w:r>
              <w:rPr>
                <w:rFonts w:hint="eastAsia"/>
                <w:sz w:val="18"/>
                <w:szCs w:val="18"/>
              </w:rPr>
              <w:t>16</w:t>
            </w:r>
          </w:p>
        </w:tc>
        <w:tc>
          <w:tcPr>
            <w:tcW w:w="2138" w:type="dxa"/>
            <w:noWrap w:val="0"/>
            <w:vAlign w:val="center"/>
          </w:tcPr>
          <w:p w14:paraId="6AA25301">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轿厢照明、风扇、应急照明</w:t>
            </w:r>
          </w:p>
        </w:tc>
        <w:tc>
          <w:tcPr>
            <w:tcW w:w="2289" w:type="dxa"/>
            <w:gridSpan w:val="2"/>
            <w:noWrap w:val="0"/>
            <w:vAlign w:val="center"/>
          </w:tcPr>
          <w:p w14:paraId="23899A47">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工作正常</w:t>
            </w:r>
          </w:p>
        </w:tc>
        <w:tc>
          <w:tcPr>
            <w:tcW w:w="278" w:type="dxa"/>
            <w:noWrap w:val="0"/>
            <w:vAlign w:val="center"/>
          </w:tcPr>
          <w:p w14:paraId="5952B305">
            <w:pPr>
              <w:keepNext w:val="0"/>
              <w:keepLines w:val="0"/>
              <w:pageBreakBefore w:val="0"/>
              <w:widowControl w:val="0"/>
              <w:kinsoku/>
              <w:wordWrap/>
              <w:overflowPunct/>
              <w:topLinePunct w:val="0"/>
              <w:autoSpaceDE/>
              <w:autoSpaceDN/>
              <w:bidi w:val="0"/>
              <w:adjustRightInd/>
              <w:snapToGrid/>
              <w:spacing w:line="240" w:lineRule="exact"/>
              <w:ind w:left="-65" w:leftChars="-31" w:right="-80" w:rightChars="-38" w:firstLine="0" w:firstLineChars="0"/>
              <w:textAlignment w:val="auto"/>
              <w:rPr>
                <w:rFonts w:hint="eastAsia"/>
                <w:b/>
                <w:sz w:val="18"/>
                <w:szCs w:val="18"/>
                <w:vertAlign w:val="baseline"/>
              </w:rPr>
            </w:pPr>
          </w:p>
        </w:tc>
        <w:tc>
          <w:tcPr>
            <w:tcW w:w="2068" w:type="dxa"/>
            <w:noWrap w:val="0"/>
            <w:vAlign w:val="center"/>
          </w:tcPr>
          <w:p w14:paraId="174356F0">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p>
        </w:tc>
        <w:tc>
          <w:tcPr>
            <w:tcW w:w="2223" w:type="dxa"/>
            <w:noWrap w:val="0"/>
            <w:vAlign w:val="center"/>
          </w:tcPr>
          <w:p w14:paraId="14D26ADC">
            <w:pPr>
              <w:keepNext w:val="0"/>
              <w:keepLines w:val="0"/>
              <w:pageBreakBefore w:val="0"/>
              <w:widowControl w:val="0"/>
              <w:kinsoku/>
              <w:wordWrap/>
              <w:overflowPunct/>
              <w:topLinePunct w:val="0"/>
              <w:autoSpaceDE/>
              <w:autoSpaceDN/>
              <w:bidi w:val="0"/>
              <w:adjustRightInd/>
              <w:snapToGrid/>
              <w:spacing w:line="240" w:lineRule="exact"/>
              <w:ind w:left="0" w:leftChars="0" w:right="-3" w:rightChars="0" w:firstLine="0" w:firstLineChars="0"/>
              <w:jc w:val="both"/>
              <w:textAlignment w:val="auto"/>
              <w:outlineLvl w:val="9"/>
              <w:rPr>
                <w:rFonts w:hint="eastAsia"/>
                <w:b/>
                <w:sz w:val="18"/>
                <w:szCs w:val="18"/>
                <w:vertAlign w:val="baseline"/>
              </w:rPr>
            </w:pPr>
          </w:p>
        </w:tc>
      </w:tr>
      <w:tr w14:paraId="6231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9258" w:type="dxa"/>
            <w:gridSpan w:val="7"/>
            <w:noWrap w:val="0"/>
            <w:vAlign w:val="center"/>
          </w:tcPr>
          <w:p w14:paraId="3142E7F2">
            <w:pPr>
              <w:keepNext w:val="0"/>
              <w:keepLines w:val="0"/>
              <w:pageBreakBefore w:val="0"/>
              <w:widowControl w:val="0"/>
              <w:kinsoku/>
              <w:wordWrap/>
              <w:overflowPunct/>
              <w:topLinePunct w:val="0"/>
              <w:autoSpaceDE/>
              <w:autoSpaceDN/>
              <w:bidi w:val="0"/>
              <w:adjustRightInd/>
              <w:snapToGrid/>
              <w:spacing w:line="240" w:lineRule="exact"/>
              <w:ind w:firstLine="0" w:firstLineChars="0"/>
              <w:textAlignment w:val="auto"/>
              <w:rPr>
                <w:rFonts w:hint="eastAsia"/>
                <w:b/>
                <w:sz w:val="18"/>
                <w:szCs w:val="18"/>
                <w:vertAlign w:val="baseline"/>
              </w:rPr>
            </w:pPr>
            <w:r>
              <w:rPr>
                <w:rFonts w:hint="eastAsia"/>
                <w:b/>
                <w:sz w:val="18"/>
                <w:szCs w:val="18"/>
              </w:rPr>
              <w:t>季度维保项目（内容）和要求</w:t>
            </w:r>
          </w:p>
        </w:tc>
      </w:tr>
      <w:tr w14:paraId="6C407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262" w:type="dxa"/>
            <w:noWrap w:val="0"/>
            <w:vAlign w:val="center"/>
          </w:tcPr>
          <w:p w14:paraId="1022C2D4">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32</w:t>
            </w:r>
          </w:p>
        </w:tc>
        <w:tc>
          <w:tcPr>
            <w:tcW w:w="2155" w:type="dxa"/>
            <w:gridSpan w:val="2"/>
            <w:noWrap w:val="0"/>
            <w:vAlign w:val="center"/>
          </w:tcPr>
          <w:p w14:paraId="7D364602">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减速机润滑油</w:t>
            </w:r>
          </w:p>
        </w:tc>
        <w:tc>
          <w:tcPr>
            <w:tcW w:w="2272" w:type="dxa"/>
            <w:noWrap w:val="0"/>
            <w:vAlign w:val="center"/>
          </w:tcPr>
          <w:p w14:paraId="25972F9E">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sz w:val="18"/>
                <w:szCs w:val="18"/>
                <w:lang w:eastAsia="zh-CN"/>
              </w:rPr>
            </w:pPr>
            <w:r>
              <w:rPr>
                <w:rFonts w:hint="eastAsia"/>
                <w:sz w:val="18"/>
                <w:szCs w:val="18"/>
                <w:lang w:eastAsia="zh-CN"/>
              </w:rPr>
              <w:t>油量适宜，除蜗杆伸出端外均无渗漏</w:t>
            </w:r>
          </w:p>
        </w:tc>
        <w:tc>
          <w:tcPr>
            <w:tcW w:w="278" w:type="dxa"/>
            <w:noWrap w:val="0"/>
            <w:vAlign w:val="center"/>
          </w:tcPr>
          <w:p w14:paraId="300710CB">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39</w:t>
            </w:r>
          </w:p>
        </w:tc>
        <w:tc>
          <w:tcPr>
            <w:tcW w:w="2068" w:type="dxa"/>
            <w:noWrap w:val="0"/>
            <w:vAlign w:val="center"/>
          </w:tcPr>
          <w:p w14:paraId="1E09964A">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sz w:val="18"/>
                <w:szCs w:val="18"/>
                <w:lang w:eastAsia="zh-CN"/>
              </w:rPr>
            </w:pPr>
            <w:r>
              <w:rPr>
                <w:rFonts w:hint="eastAsia"/>
                <w:sz w:val="18"/>
                <w:szCs w:val="18"/>
                <w:lang w:eastAsia="zh-CN"/>
              </w:rPr>
              <w:t>验证轿门关闭的电气安全装置</w:t>
            </w:r>
          </w:p>
        </w:tc>
        <w:tc>
          <w:tcPr>
            <w:tcW w:w="2223" w:type="dxa"/>
            <w:noWrap w:val="0"/>
            <w:vAlign w:val="center"/>
          </w:tcPr>
          <w:p w14:paraId="315644FC">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sz w:val="18"/>
                <w:szCs w:val="18"/>
                <w:lang w:eastAsia="zh-CN"/>
              </w:rPr>
            </w:pPr>
            <w:r>
              <w:rPr>
                <w:rFonts w:hint="eastAsia"/>
                <w:sz w:val="18"/>
                <w:szCs w:val="18"/>
                <w:lang w:eastAsia="zh-CN"/>
              </w:rPr>
              <w:t>工作正常</w:t>
            </w:r>
          </w:p>
        </w:tc>
      </w:tr>
      <w:tr w14:paraId="2367C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262" w:type="dxa"/>
            <w:noWrap w:val="0"/>
            <w:vAlign w:val="center"/>
          </w:tcPr>
          <w:p w14:paraId="26696602">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33</w:t>
            </w:r>
          </w:p>
        </w:tc>
        <w:tc>
          <w:tcPr>
            <w:tcW w:w="2155" w:type="dxa"/>
            <w:gridSpan w:val="2"/>
            <w:noWrap w:val="0"/>
            <w:vAlign w:val="center"/>
          </w:tcPr>
          <w:p w14:paraId="4F12B107">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制动衬</w:t>
            </w:r>
          </w:p>
        </w:tc>
        <w:tc>
          <w:tcPr>
            <w:tcW w:w="2272" w:type="dxa"/>
            <w:noWrap w:val="0"/>
            <w:vAlign w:val="center"/>
          </w:tcPr>
          <w:p w14:paraId="12741B5A">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sz w:val="18"/>
                <w:szCs w:val="18"/>
                <w:lang w:eastAsia="zh-CN"/>
              </w:rPr>
            </w:pPr>
            <w:r>
              <w:rPr>
                <w:rFonts w:hint="eastAsia"/>
                <w:sz w:val="18"/>
                <w:szCs w:val="18"/>
                <w:lang w:eastAsia="zh-CN"/>
              </w:rPr>
              <w:t>清洁，磨损量不超过制造单位要求</w:t>
            </w:r>
          </w:p>
        </w:tc>
        <w:tc>
          <w:tcPr>
            <w:tcW w:w="278" w:type="dxa"/>
            <w:noWrap w:val="0"/>
            <w:vAlign w:val="center"/>
          </w:tcPr>
          <w:p w14:paraId="5660D87C">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40</w:t>
            </w:r>
          </w:p>
        </w:tc>
        <w:tc>
          <w:tcPr>
            <w:tcW w:w="2068" w:type="dxa"/>
            <w:noWrap w:val="0"/>
            <w:vAlign w:val="center"/>
          </w:tcPr>
          <w:p w14:paraId="6043A40A">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sz w:val="18"/>
                <w:szCs w:val="18"/>
                <w:lang w:eastAsia="zh-CN"/>
              </w:rPr>
            </w:pPr>
            <w:r>
              <w:rPr>
                <w:rFonts w:hint="eastAsia"/>
                <w:sz w:val="18"/>
                <w:szCs w:val="18"/>
                <w:lang w:eastAsia="zh-CN"/>
              </w:rPr>
              <w:t>层门、轿门系统中传动钢丝绳、链条、传动带</w:t>
            </w:r>
          </w:p>
        </w:tc>
        <w:tc>
          <w:tcPr>
            <w:tcW w:w="2223" w:type="dxa"/>
            <w:noWrap w:val="0"/>
            <w:vAlign w:val="center"/>
          </w:tcPr>
          <w:p w14:paraId="246CF4C4">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sz w:val="18"/>
                <w:szCs w:val="18"/>
                <w:lang w:eastAsia="zh-CN"/>
              </w:rPr>
            </w:pPr>
            <w:r>
              <w:rPr>
                <w:rFonts w:hint="eastAsia"/>
                <w:sz w:val="18"/>
                <w:szCs w:val="18"/>
                <w:lang w:eastAsia="zh-CN"/>
              </w:rPr>
              <w:t>按照制造单位要求进行清洁、调整</w:t>
            </w:r>
          </w:p>
        </w:tc>
      </w:tr>
      <w:tr w14:paraId="3952F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62" w:type="dxa"/>
            <w:noWrap w:val="0"/>
            <w:vAlign w:val="center"/>
          </w:tcPr>
          <w:p w14:paraId="19A3AB45">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34</w:t>
            </w:r>
          </w:p>
        </w:tc>
        <w:tc>
          <w:tcPr>
            <w:tcW w:w="2155" w:type="dxa"/>
            <w:gridSpan w:val="2"/>
            <w:noWrap w:val="0"/>
            <w:vAlign w:val="center"/>
          </w:tcPr>
          <w:p w14:paraId="157761FB">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编码器</w:t>
            </w:r>
          </w:p>
        </w:tc>
        <w:tc>
          <w:tcPr>
            <w:tcW w:w="2272" w:type="dxa"/>
            <w:noWrap w:val="0"/>
            <w:vAlign w:val="center"/>
          </w:tcPr>
          <w:p w14:paraId="1B87A159">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工作正常</w:t>
            </w:r>
          </w:p>
        </w:tc>
        <w:tc>
          <w:tcPr>
            <w:tcW w:w="278" w:type="dxa"/>
            <w:noWrap w:val="0"/>
            <w:vAlign w:val="center"/>
          </w:tcPr>
          <w:p w14:paraId="027B6C5A">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41</w:t>
            </w:r>
          </w:p>
        </w:tc>
        <w:tc>
          <w:tcPr>
            <w:tcW w:w="2068" w:type="dxa"/>
            <w:noWrap w:val="0"/>
            <w:vAlign w:val="center"/>
          </w:tcPr>
          <w:p w14:paraId="11E30C18">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层门门导靴</w:t>
            </w:r>
          </w:p>
        </w:tc>
        <w:tc>
          <w:tcPr>
            <w:tcW w:w="2223" w:type="dxa"/>
            <w:noWrap w:val="0"/>
            <w:vAlign w:val="center"/>
          </w:tcPr>
          <w:p w14:paraId="7C35587B">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磨损量不超过制造单位要求</w:t>
            </w:r>
          </w:p>
        </w:tc>
      </w:tr>
      <w:tr w14:paraId="4F5E6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62" w:type="dxa"/>
            <w:noWrap w:val="0"/>
            <w:vAlign w:val="center"/>
          </w:tcPr>
          <w:p w14:paraId="722FF5B6">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35</w:t>
            </w:r>
          </w:p>
        </w:tc>
        <w:tc>
          <w:tcPr>
            <w:tcW w:w="2155" w:type="dxa"/>
            <w:gridSpan w:val="2"/>
            <w:noWrap w:val="0"/>
            <w:vAlign w:val="center"/>
          </w:tcPr>
          <w:p w14:paraId="2390E1DC">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选层器动静触点</w:t>
            </w:r>
          </w:p>
        </w:tc>
        <w:tc>
          <w:tcPr>
            <w:tcW w:w="2272" w:type="dxa"/>
            <w:noWrap w:val="0"/>
            <w:vAlign w:val="center"/>
          </w:tcPr>
          <w:p w14:paraId="3E0D2560">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清洁，无烧蚀</w:t>
            </w:r>
          </w:p>
        </w:tc>
        <w:tc>
          <w:tcPr>
            <w:tcW w:w="278" w:type="dxa"/>
            <w:noWrap w:val="0"/>
            <w:vAlign w:val="center"/>
          </w:tcPr>
          <w:p w14:paraId="513234D7">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42</w:t>
            </w:r>
          </w:p>
        </w:tc>
        <w:tc>
          <w:tcPr>
            <w:tcW w:w="2068" w:type="dxa"/>
            <w:noWrap w:val="0"/>
            <w:vAlign w:val="center"/>
          </w:tcPr>
          <w:p w14:paraId="1C4B1BDC">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消防开关</w:t>
            </w:r>
          </w:p>
        </w:tc>
        <w:tc>
          <w:tcPr>
            <w:tcW w:w="2223" w:type="dxa"/>
            <w:noWrap w:val="0"/>
            <w:vAlign w:val="center"/>
          </w:tcPr>
          <w:p w14:paraId="64FB6357">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工作正常，功能有效</w:t>
            </w:r>
          </w:p>
        </w:tc>
      </w:tr>
      <w:tr w14:paraId="7A0BD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262" w:type="dxa"/>
            <w:noWrap w:val="0"/>
            <w:vAlign w:val="center"/>
          </w:tcPr>
          <w:p w14:paraId="72301217">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36</w:t>
            </w:r>
          </w:p>
        </w:tc>
        <w:tc>
          <w:tcPr>
            <w:tcW w:w="2155" w:type="dxa"/>
            <w:gridSpan w:val="2"/>
            <w:noWrap w:val="0"/>
            <w:vAlign w:val="center"/>
          </w:tcPr>
          <w:p w14:paraId="5EA59B1F">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曳引轮</w:t>
            </w:r>
            <w:r>
              <w:rPr>
                <w:rFonts w:hint="eastAsia"/>
                <w:sz w:val="18"/>
                <w:szCs w:val="18"/>
                <w:lang w:val="en-US" w:eastAsia="zh-CN"/>
              </w:rPr>
              <w:t>槽、悬挂装置</w:t>
            </w:r>
          </w:p>
        </w:tc>
        <w:tc>
          <w:tcPr>
            <w:tcW w:w="2272" w:type="dxa"/>
            <w:noWrap w:val="0"/>
            <w:vAlign w:val="center"/>
          </w:tcPr>
          <w:p w14:paraId="4D924322">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清洁钢丝绳无严重油腻，张力均匀，符合制造单位要求</w:t>
            </w:r>
          </w:p>
        </w:tc>
        <w:tc>
          <w:tcPr>
            <w:tcW w:w="278" w:type="dxa"/>
            <w:noWrap w:val="0"/>
            <w:vAlign w:val="center"/>
          </w:tcPr>
          <w:p w14:paraId="00400F91">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43</w:t>
            </w:r>
          </w:p>
        </w:tc>
        <w:tc>
          <w:tcPr>
            <w:tcW w:w="2068" w:type="dxa"/>
            <w:noWrap w:val="0"/>
            <w:vAlign w:val="center"/>
          </w:tcPr>
          <w:p w14:paraId="7398F9B8">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耗能缓冲器</w:t>
            </w:r>
          </w:p>
        </w:tc>
        <w:tc>
          <w:tcPr>
            <w:tcW w:w="2223" w:type="dxa"/>
            <w:noWrap w:val="0"/>
            <w:vAlign w:val="center"/>
          </w:tcPr>
          <w:p w14:paraId="4CFF0499">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电气安全装置功能有效，油量适宜，柱</w:t>
            </w:r>
            <w:r>
              <w:rPr>
                <w:rFonts w:hint="eastAsia"/>
                <w:sz w:val="18"/>
                <w:szCs w:val="18"/>
                <w:lang w:val="en-US" w:eastAsia="zh-CN"/>
              </w:rPr>
              <w:t>塞无锈蚀</w:t>
            </w:r>
          </w:p>
        </w:tc>
      </w:tr>
      <w:tr w14:paraId="2EF39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262" w:type="dxa"/>
            <w:noWrap w:val="0"/>
            <w:vAlign w:val="center"/>
          </w:tcPr>
          <w:p w14:paraId="404B4C60">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37</w:t>
            </w:r>
          </w:p>
        </w:tc>
        <w:tc>
          <w:tcPr>
            <w:tcW w:w="2155" w:type="dxa"/>
            <w:gridSpan w:val="2"/>
            <w:noWrap w:val="0"/>
            <w:vAlign w:val="center"/>
          </w:tcPr>
          <w:p w14:paraId="68E66FEA">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限速器轮</w:t>
            </w:r>
            <w:r>
              <w:rPr>
                <w:rFonts w:hint="eastAsia"/>
                <w:sz w:val="18"/>
                <w:szCs w:val="18"/>
                <w:lang w:val="en-US" w:eastAsia="zh-CN"/>
              </w:rPr>
              <w:t>槽、限速器钢丝绳</w:t>
            </w:r>
          </w:p>
        </w:tc>
        <w:tc>
          <w:tcPr>
            <w:tcW w:w="2272" w:type="dxa"/>
            <w:noWrap w:val="0"/>
            <w:vAlign w:val="center"/>
          </w:tcPr>
          <w:p w14:paraId="2DA7AA64">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清洁，无严重油腻</w:t>
            </w:r>
          </w:p>
        </w:tc>
        <w:tc>
          <w:tcPr>
            <w:tcW w:w="278" w:type="dxa"/>
            <w:noWrap w:val="0"/>
            <w:vAlign w:val="center"/>
          </w:tcPr>
          <w:p w14:paraId="4FA773B0">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44</w:t>
            </w:r>
          </w:p>
        </w:tc>
        <w:tc>
          <w:tcPr>
            <w:tcW w:w="2068" w:type="dxa"/>
            <w:noWrap w:val="0"/>
            <w:vAlign w:val="center"/>
          </w:tcPr>
          <w:p w14:paraId="104D71E2">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限速器涨紧轮装置和电气安全装置</w:t>
            </w:r>
          </w:p>
        </w:tc>
        <w:tc>
          <w:tcPr>
            <w:tcW w:w="2223" w:type="dxa"/>
            <w:noWrap w:val="0"/>
            <w:vAlign w:val="center"/>
          </w:tcPr>
          <w:p w14:paraId="1907C898">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工作</w:t>
            </w:r>
          </w:p>
        </w:tc>
      </w:tr>
      <w:tr w14:paraId="35687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62" w:type="dxa"/>
            <w:noWrap w:val="0"/>
            <w:vAlign w:val="center"/>
          </w:tcPr>
          <w:p w14:paraId="6FB601F6">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38</w:t>
            </w:r>
          </w:p>
        </w:tc>
        <w:tc>
          <w:tcPr>
            <w:tcW w:w="2155" w:type="dxa"/>
            <w:gridSpan w:val="2"/>
            <w:noWrap w:val="0"/>
            <w:vAlign w:val="center"/>
          </w:tcPr>
          <w:p w14:paraId="44D8A791">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靴衬、滚轮</w:t>
            </w:r>
          </w:p>
        </w:tc>
        <w:tc>
          <w:tcPr>
            <w:tcW w:w="2272" w:type="dxa"/>
            <w:noWrap w:val="0"/>
            <w:vAlign w:val="center"/>
          </w:tcPr>
          <w:p w14:paraId="2CE70B8A">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pacing w:val="-11"/>
                <w:sz w:val="18"/>
                <w:szCs w:val="18"/>
                <w:lang w:eastAsia="zh-CN"/>
              </w:rPr>
              <w:t>清洁，磨损量不超过制造单位要求</w:t>
            </w:r>
          </w:p>
        </w:tc>
        <w:tc>
          <w:tcPr>
            <w:tcW w:w="278" w:type="dxa"/>
            <w:noWrap w:val="0"/>
            <w:vAlign w:val="top"/>
          </w:tcPr>
          <w:p w14:paraId="4012E288">
            <w:pPr>
              <w:spacing w:line="280" w:lineRule="exact"/>
              <w:ind w:left="-65" w:leftChars="-31" w:right="-80" w:rightChars="-38"/>
              <w:rPr>
                <w:rFonts w:hint="eastAsia"/>
                <w:b/>
                <w:sz w:val="18"/>
                <w:szCs w:val="18"/>
                <w:vertAlign w:val="baseline"/>
              </w:rPr>
            </w:pPr>
          </w:p>
        </w:tc>
        <w:tc>
          <w:tcPr>
            <w:tcW w:w="2068" w:type="dxa"/>
            <w:noWrap w:val="0"/>
            <w:vAlign w:val="top"/>
          </w:tcPr>
          <w:p w14:paraId="54FF7C62">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p>
        </w:tc>
        <w:tc>
          <w:tcPr>
            <w:tcW w:w="2223" w:type="dxa"/>
            <w:noWrap w:val="0"/>
            <w:vAlign w:val="top"/>
          </w:tcPr>
          <w:p w14:paraId="21AF137B">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p>
        </w:tc>
      </w:tr>
      <w:tr w14:paraId="24F19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9258" w:type="dxa"/>
            <w:gridSpan w:val="7"/>
            <w:noWrap w:val="0"/>
            <w:vAlign w:val="center"/>
          </w:tcPr>
          <w:p w14:paraId="19C510AF">
            <w:pPr>
              <w:spacing w:line="280" w:lineRule="exact"/>
              <w:rPr>
                <w:rFonts w:hint="eastAsia"/>
                <w:b/>
                <w:sz w:val="18"/>
                <w:szCs w:val="18"/>
                <w:vertAlign w:val="baseline"/>
              </w:rPr>
            </w:pPr>
            <w:r>
              <w:rPr>
                <w:rFonts w:hint="eastAsia"/>
                <w:b/>
                <w:sz w:val="18"/>
                <w:szCs w:val="18"/>
              </w:rPr>
              <w:t>半年维保项目（内容）和要求</w:t>
            </w:r>
          </w:p>
        </w:tc>
      </w:tr>
      <w:tr w14:paraId="15DFB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262" w:type="dxa"/>
            <w:noWrap w:val="0"/>
            <w:vAlign w:val="center"/>
          </w:tcPr>
          <w:p w14:paraId="7339BCD8">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45</w:t>
            </w:r>
          </w:p>
        </w:tc>
        <w:tc>
          <w:tcPr>
            <w:tcW w:w="2155" w:type="dxa"/>
            <w:gridSpan w:val="2"/>
            <w:noWrap w:val="0"/>
            <w:vAlign w:val="center"/>
          </w:tcPr>
          <w:p w14:paraId="599B731F">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电动机与减速机联轴器</w:t>
            </w:r>
          </w:p>
        </w:tc>
        <w:tc>
          <w:tcPr>
            <w:tcW w:w="2272" w:type="dxa"/>
            <w:noWrap w:val="0"/>
            <w:vAlign w:val="center"/>
          </w:tcPr>
          <w:p w14:paraId="7259D8BA">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连接无松动，弹性元件外观良好，无老化等现象</w:t>
            </w:r>
          </w:p>
        </w:tc>
        <w:tc>
          <w:tcPr>
            <w:tcW w:w="278" w:type="dxa"/>
            <w:noWrap w:val="0"/>
            <w:vAlign w:val="center"/>
          </w:tcPr>
          <w:p w14:paraId="5B882CBD">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53</w:t>
            </w:r>
          </w:p>
        </w:tc>
        <w:tc>
          <w:tcPr>
            <w:tcW w:w="2068" w:type="dxa"/>
            <w:noWrap w:val="0"/>
            <w:vAlign w:val="center"/>
          </w:tcPr>
          <w:p w14:paraId="574A0A58">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绳头组合</w:t>
            </w:r>
          </w:p>
        </w:tc>
        <w:tc>
          <w:tcPr>
            <w:tcW w:w="2223" w:type="dxa"/>
            <w:noWrap w:val="0"/>
            <w:vAlign w:val="center"/>
          </w:tcPr>
          <w:p w14:paraId="6C1C6B95">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螺母无松动</w:t>
            </w:r>
          </w:p>
        </w:tc>
      </w:tr>
      <w:tr w14:paraId="66DAE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262" w:type="dxa"/>
            <w:noWrap w:val="0"/>
            <w:vAlign w:val="center"/>
          </w:tcPr>
          <w:p w14:paraId="051C0D75">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46</w:t>
            </w:r>
          </w:p>
        </w:tc>
        <w:tc>
          <w:tcPr>
            <w:tcW w:w="2155" w:type="dxa"/>
            <w:gridSpan w:val="2"/>
            <w:noWrap w:val="0"/>
            <w:vAlign w:val="center"/>
          </w:tcPr>
          <w:p w14:paraId="443AE193">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驱动轮、导向轮轴承部</w:t>
            </w:r>
          </w:p>
        </w:tc>
        <w:tc>
          <w:tcPr>
            <w:tcW w:w="2272" w:type="dxa"/>
            <w:noWrap w:val="0"/>
            <w:vAlign w:val="center"/>
          </w:tcPr>
          <w:p w14:paraId="7F043B07">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无异常声响，无振动，润滑良好</w:t>
            </w:r>
          </w:p>
        </w:tc>
        <w:tc>
          <w:tcPr>
            <w:tcW w:w="278" w:type="dxa"/>
            <w:noWrap w:val="0"/>
            <w:vAlign w:val="center"/>
          </w:tcPr>
          <w:p w14:paraId="21001086">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54</w:t>
            </w:r>
          </w:p>
        </w:tc>
        <w:tc>
          <w:tcPr>
            <w:tcW w:w="2068" w:type="dxa"/>
            <w:noWrap w:val="0"/>
            <w:vAlign w:val="center"/>
          </w:tcPr>
          <w:p w14:paraId="5CD9D4C8">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限速器钢丝绳</w:t>
            </w:r>
          </w:p>
        </w:tc>
        <w:tc>
          <w:tcPr>
            <w:tcW w:w="2223" w:type="dxa"/>
            <w:noWrap w:val="0"/>
            <w:vAlign w:val="center"/>
          </w:tcPr>
          <w:p w14:paraId="0A613367">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磨损量、断丝数不超过制造单位要求</w:t>
            </w:r>
          </w:p>
        </w:tc>
      </w:tr>
      <w:tr w14:paraId="64D9B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62" w:type="dxa"/>
            <w:noWrap w:val="0"/>
            <w:vAlign w:val="center"/>
          </w:tcPr>
          <w:p w14:paraId="56C57837">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47</w:t>
            </w:r>
          </w:p>
        </w:tc>
        <w:tc>
          <w:tcPr>
            <w:tcW w:w="2155" w:type="dxa"/>
            <w:gridSpan w:val="2"/>
            <w:noWrap w:val="0"/>
            <w:vAlign w:val="center"/>
          </w:tcPr>
          <w:p w14:paraId="7F15B17B">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曳引轮</w:t>
            </w:r>
            <w:r>
              <w:rPr>
                <w:rFonts w:hint="eastAsia"/>
                <w:sz w:val="18"/>
                <w:szCs w:val="18"/>
                <w:lang w:val="en-US" w:eastAsia="zh-CN"/>
              </w:rPr>
              <w:t>槽</w:t>
            </w:r>
          </w:p>
        </w:tc>
        <w:tc>
          <w:tcPr>
            <w:tcW w:w="2272" w:type="dxa"/>
            <w:noWrap w:val="0"/>
            <w:vAlign w:val="center"/>
          </w:tcPr>
          <w:p w14:paraId="6F91AC2D">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磨损量不超过制造单位要求</w:t>
            </w:r>
          </w:p>
        </w:tc>
        <w:tc>
          <w:tcPr>
            <w:tcW w:w="278" w:type="dxa"/>
            <w:noWrap w:val="0"/>
            <w:vAlign w:val="center"/>
          </w:tcPr>
          <w:p w14:paraId="383B20F2">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55</w:t>
            </w:r>
          </w:p>
        </w:tc>
        <w:tc>
          <w:tcPr>
            <w:tcW w:w="2068" w:type="dxa"/>
            <w:noWrap w:val="0"/>
            <w:vAlign w:val="center"/>
          </w:tcPr>
          <w:p w14:paraId="61B48EE9">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层门、轿门门扇</w:t>
            </w:r>
          </w:p>
        </w:tc>
        <w:tc>
          <w:tcPr>
            <w:tcW w:w="2223" w:type="dxa"/>
            <w:noWrap w:val="0"/>
            <w:vAlign w:val="center"/>
          </w:tcPr>
          <w:p w14:paraId="6DC665DB">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门扇各相关间隙符合标准值</w:t>
            </w:r>
          </w:p>
        </w:tc>
      </w:tr>
      <w:tr w14:paraId="3DF47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62" w:type="dxa"/>
            <w:noWrap w:val="0"/>
            <w:vAlign w:val="center"/>
          </w:tcPr>
          <w:p w14:paraId="24C1DFE8">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48</w:t>
            </w:r>
          </w:p>
        </w:tc>
        <w:tc>
          <w:tcPr>
            <w:tcW w:w="2155" w:type="dxa"/>
            <w:gridSpan w:val="2"/>
            <w:noWrap w:val="0"/>
            <w:vAlign w:val="center"/>
          </w:tcPr>
          <w:p w14:paraId="6304440B">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制动器动作状态监测装置</w:t>
            </w:r>
          </w:p>
        </w:tc>
        <w:tc>
          <w:tcPr>
            <w:tcW w:w="2272" w:type="dxa"/>
            <w:noWrap w:val="0"/>
            <w:vAlign w:val="center"/>
          </w:tcPr>
          <w:p w14:paraId="5DF18A4E">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工作正常，制动器动作可靠</w:t>
            </w:r>
          </w:p>
        </w:tc>
        <w:tc>
          <w:tcPr>
            <w:tcW w:w="278" w:type="dxa"/>
            <w:noWrap w:val="0"/>
            <w:vAlign w:val="center"/>
          </w:tcPr>
          <w:p w14:paraId="6C25E4B6">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56</w:t>
            </w:r>
          </w:p>
        </w:tc>
        <w:tc>
          <w:tcPr>
            <w:tcW w:w="2068" w:type="dxa"/>
            <w:noWrap w:val="0"/>
            <w:vAlign w:val="center"/>
          </w:tcPr>
          <w:p w14:paraId="00316391">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轿门开门限制装置</w:t>
            </w:r>
          </w:p>
        </w:tc>
        <w:tc>
          <w:tcPr>
            <w:tcW w:w="2223" w:type="dxa"/>
            <w:noWrap w:val="0"/>
            <w:vAlign w:val="center"/>
          </w:tcPr>
          <w:p w14:paraId="474652C2">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工作正常</w:t>
            </w:r>
          </w:p>
        </w:tc>
      </w:tr>
      <w:tr w14:paraId="43A8C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62" w:type="dxa"/>
            <w:noWrap w:val="0"/>
            <w:vAlign w:val="center"/>
          </w:tcPr>
          <w:p w14:paraId="1B6A6874">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49</w:t>
            </w:r>
          </w:p>
        </w:tc>
        <w:tc>
          <w:tcPr>
            <w:tcW w:w="2155" w:type="dxa"/>
            <w:gridSpan w:val="2"/>
            <w:noWrap w:val="0"/>
            <w:vAlign w:val="center"/>
          </w:tcPr>
          <w:p w14:paraId="4A2391DD">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控制柜内各接线端子</w:t>
            </w:r>
          </w:p>
        </w:tc>
        <w:tc>
          <w:tcPr>
            <w:tcW w:w="2272" w:type="dxa"/>
            <w:noWrap w:val="0"/>
            <w:vAlign w:val="center"/>
          </w:tcPr>
          <w:p w14:paraId="10C7F00F">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pacing w:val="-11"/>
                <w:sz w:val="18"/>
                <w:szCs w:val="18"/>
                <w:lang w:eastAsia="zh-CN"/>
              </w:rPr>
              <w:t>各接线紧固、整齐，线号齐全清晰</w:t>
            </w:r>
          </w:p>
        </w:tc>
        <w:tc>
          <w:tcPr>
            <w:tcW w:w="278" w:type="dxa"/>
            <w:noWrap w:val="0"/>
            <w:vAlign w:val="center"/>
          </w:tcPr>
          <w:p w14:paraId="395D56F1">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57</w:t>
            </w:r>
          </w:p>
        </w:tc>
        <w:tc>
          <w:tcPr>
            <w:tcW w:w="2068" w:type="dxa"/>
            <w:noWrap w:val="0"/>
            <w:vAlign w:val="center"/>
          </w:tcPr>
          <w:p w14:paraId="753412FC">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对重缓冲距离</w:t>
            </w:r>
          </w:p>
        </w:tc>
        <w:tc>
          <w:tcPr>
            <w:tcW w:w="2223" w:type="dxa"/>
            <w:noWrap w:val="0"/>
            <w:vAlign w:val="center"/>
          </w:tcPr>
          <w:p w14:paraId="374FAC1A">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符合标准值</w:t>
            </w:r>
          </w:p>
        </w:tc>
      </w:tr>
      <w:tr w14:paraId="2E6B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62" w:type="dxa"/>
            <w:noWrap w:val="0"/>
            <w:vAlign w:val="center"/>
          </w:tcPr>
          <w:p w14:paraId="40676D73">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50</w:t>
            </w:r>
          </w:p>
        </w:tc>
        <w:tc>
          <w:tcPr>
            <w:tcW w:w="2155" w:type="dxa"/>
            <w:gridSpan w:val="2"/>
            <w:noWrap w:val="0"/>
            <w:vAlign w:val="center"/>
          </w:tcPr>
          <w:p w14:paraId="73FEDEEB">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控制柜各仪表</w:t>
            </w:r>
          </w:p>
        </w:tc>
        <w:tc>
          <w:tcPr>
            <w:tcW w:w="2272" w:type="dxa"/>
            <w:noWrap w:val="0"/>
            <w:vAlign w:val="center"/>
          </w:tcPr>
          <w:p w14:paraId="66F194C1">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显示正常</w:t>
            </w:r>
          </w:p>
        </w:tc>
        <w:tc>
          <w:tcPr>
            <w:tcW w:w="278" w:type="dxa"/>
            <w:noWrap w:val="0"/>
            <w:vAlign w:val="center"/>
          </w:tcPr>
          <w:p w14:paraId="51D037B6">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58</w:t>
            </w:r>
          </w:p>
        </w:tc>
        <w:tc>
          <w:tcPr>
            <w:tcW w:w="2068" w:type="dxa"/>
            <w:noWrap w:val="0"/>
            <w:vAlign w:val="center"/>
          </w:tcPr>
          <w:p w14:paraId="38190F2C">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pacing w:val="-20"/>
                <w:sz w:val="18"/>
                <w:szCs w:val="18"/>
                <w:vertAlign w:val="baseline"/>
              </w:rPr>
            </w:pPr>
            <w:r>
              <w:rPr>
                <w:rFonts w:hint="eastAsia"/>
                <w:spacing w:val="-20"/>
                <w:sz w:val="18"/>
                <w:szCs w:val="18"/>
                <w:lang w:val="en-US" w:eastAsia="zh-CN"/>
              </w:rPr>
              <w:t>补偿链（绳）与轿厢、对重接合处</w:t>
            </w:r>
          </w:p>
        </w:tc>
        <w:tc>
          <w:tcPr>
            <w:tcW w:w="2223" w:type="dxa"/>
            <w:noWrap w:val="0"/>
            <w:vAlign w:val="center"/>
          </w:tcPr>
          <w:p w14:paraId="4F6D7E7D">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eastAsia="zh-CN"/>
              </w:rPr>
              <w:t>固定，无松动</w:t>
            </w:r>
          </w:p>
        </w:tc>
      </w:tr>
      <w:tr w14:paraId="5442D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62" w:type="dxa"/>
            <w:noWrap w:val="0"/>
            <w:vAlign w:val="center"/>
          </w:tcPr>
          <w:p w14:paraId="072ABA7C">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51</w:t>
            </w:r>
          </w:p>
        </w:tc>
        <w:tc>
          <w:tcPr>
            <w:tcW w:w="2155" w:type="dxa"/>
            <w:gridSpan w:val="2"/>
            <w:noWrap w:val="0"/>
            <w:vAlign w:val="center"/>
          </w:tcPr>
          <w:p w14:paraId="18D6C8FB">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spacing w:val="-14"/>
                <w:sz w:val="18"/>
                <w:szCs w:val="18"/>
                <w:lang w:val="en-US" w:eastAsia="zh-CN"/>
              </w:rPr>
            </w:pPr>
            <w:r>
              <w:rPr>
                <w:rFonts w:hint="eastAsia"/>
                <w:spacing w:val="-14"/>
                <w:sz w:val="18"/>
                <w:szCs w:val="18"/>
                <w:lang w:val="en-US" w:eastAsia="zh-CN"/>
              </w:rPr>
              <w:t>井道、对重、轿顶各反绳轮轴承部</w:t>
            </w:r>
          </w:p>
        </w:tc>
        <w:tc>
          <w:tcPr>
            <w:tcW w:w="2272" w:type="dxa"/>
            <w:noWrap w:val="0"/>
            <w:vAlign w:val="center"/>
          </w:tcPr>
          <w:p w14:paraId="1FDCCC93">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pacing w:val="-6"/>
                <w:sz w:val="18"/>
                <w:szCs w:val="18"/>
                <w:lang w:val="en-US" w:eastAsia="zh-CN"/>
              </w:rPr>
              <w:t>无异常声响，无振动，润滑良好</w:t>
            </w:r>
          </w:p>
        </w:tc>
        <w:tc>
          <w:tcPr>
            <w:tcW w:w="278" w:type="dxa"/>
            <w:noWrap w:val="0"/>
            <w:vAlign w:val="center"/>
          </w:tcPr>
          <w:p w14:paraId="646169F6">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59</w:t>
            </w:r>
          </w:p>
        </w:tc>
        <w:tc>
          <w:tcPr>
            <w:tcW w:w="2068" w:type="dxa"/>
            <w:noWrap w:val="0"/>
            <w:vAlign w:val="center"/>
          </w:tcPr>
          <w:p w14:paraId="139210AE">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上、下极限开关</w:t>
            </w:r>
          </w:p>
        </w:tc>
        <w:tc>
          <w:tcPr>
            <w:tcW w:w="2223" w:type="dxa"/>
            <w:noWrap w:val="0"/>
            <w:vAlign w:val="center"/>
          </w:tcPr>
          <w:p w14:paraId="273C1054">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工作正常</w:t>
            </w:r>
          </w:p>
        </w:tc>
      </w:tr>
      <w:tr w14:paraId="2ABC4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62" w:type="dxa"/>
            <w:noWrap w:val="0"/>
            <w:vAlign w:val="center"/>
          </w:tcPr>
          <w:p w14:paraId="675A1413">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52</w:t>
            </w:r>
          </w:p>
        </w:tc>
        <w:tc>
          <w:tcPr>
            <w:tcW w:w="2155" w:type="dxa"/>
            <w:gridSpan w:val="2"/>
            <w:noWrap w:val="0"/>
            <w:vAlign w:val="center"/>
          </w:tcPr>
          <w:p w14:paraId="66B8102A">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悬挂装置、补偿绳</w:t>
            </w:r>
          </w:p>
        </w:tc>
        <w:tc>
          <w:tcPr>
            <w:tcW w:w="2272" w:type="dxa"/>
            <w:noWrap w:val="0"/>
            <w:vAlign w:val="center"/>
          </w:tcPr>
          <w:p w14:paraId="3E656008">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磨损量、断丝数不超过要求</w:t>
            </w:r>
          </w:p>
        </w:tc>
        <w:tc>
          <w:tcPr>
            <w:tcW w:w="278" w:type="dxa"/>
            <w:noWrap w:val="0"/>
            <w:vAlign w:val="center"/>
          </w:tcPr>
          <w:p w14:paraId="622FFD06">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p>
        </w:tc>
        <w:tc>
          <w:tcPr>
            <w:tcW w:w="2068" w:type="dxa"/>
            <w:noWrap w:val="0"/>
            <w:vAlign w:val="center"/>
          </w:tcPr>
          <w:p w14:paraId="5D774777">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p>
        </w:tc>
        <w:tc>
          <w:tcPr>
            <w:tcW w:w="2223" w:type="dxa"/>
            <w:noWrap w:val="0"/>
            <w:vAlign w:val="center"/>
          </w:tcPr>
          <w:p w14:paraId="559CADE5">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p>
        </w:tc>
      </w:tr>
      <w:tr w14:paraId="24A22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9258" w:type="dxa"/>
            <w:gridSpan w:val="7"/>
            <w:noWrap w:val="0"/>
            <w:vAlign w:val="center"/>
          </w:tcPr>
          <w:p w14:paraId="4310C42C">
            <w:pPr>
              <w:spacing w:line="280" w:lineRule="exact"/>
              <w:rPr>
                <w:rFonts w:hint="eastAsia"/>
                <w:b/>
                <w:sz w:val="18"/>
                <w:szCs w:val="18"/>
                <w:vertAlign w:val="baseline"/>
              </w:rPr>
            </w:pPr>
            <w:r>
              <w:rPr>
                <w:rFonts w:hint="eastAsia"/>
                <w:b/>
                <w:sz w:val="18"/>
                <w:szCs w:val="18"/>
              </w:rPr>
              <w:t>年度维保项目（内容）和要求</w:t>
            </w:r>
          </w:p>
        </w:tc>
      </w:tr>
      <w:tr w14:paraId="64489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262" w:type="dxa"/>
            <w:noWrap w:val="0"/>
            <w:vAlign w:val="center"/>
          </w:tcPr>
          <w:p w14:paraId="58677719">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60</w:t>
            </w:r>
          </w:p>
        </w:tc>
        <w:tc>
          <w:tcPr>
            <w:tcW w:w="2155" w:type="dxa"/>
            <w:gridSpan w:val="2"/>
            <w:noWrap w:val="0"/>
            <w:vAlign w:val="center"/>
          </w:tcPr>
          <w:p w14:paraId="32B7F68C">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减速机润滑油</w:t>
            </w:r>
          </w:p>
        </w:tc>
        <w:tc>
          <w:tcPr>
            <w:tcW w:w="2272" w:type="dxa"/>
            <w:noWrap w:val="0"/>
            <w:vAlign w:val="center"/>
          </w:tcPr>
          <w:p w14:paraId="3470D4F4">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按照制造单位要求适时更换，保证油质符合要求</w:t>
            </w:r>
          </w:p>
        </w:tc>
        <w:tc>
          <w:tcPr>
            <w:tcW w:w="278" w:type="dxa"/>
            <w:noWrap w:val="0"/>
            <w:vAlign w:val="center"/>
          </w:tcPr>
          <w:p w14:paraId="1D4FDDDE">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69</w:t>
            </w:r>
          </w:p>
        </w:tc>
        <w:tc>
          <w:tcPr>
            <w:tcW w:w="2068" w:type="dxa"/>
            <w:noWrap w:val="0"/>
            <w:vAlign w:val="center"/>
          </w:tcPr>
          <w:p w14:paraId="792E5E25">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轿厢和对重/平衡重的导轨支架</w:t>
            </w:r>
          </w:p>
        </w:tc>
        <w:tc>
          <w:tcPr>
            <w:tcW w:w="2223" w:type="dxa"/>
            <w:noWrap w:val="0"/>
            <w:vAlign w:val="center"/>
          </w:tcPr>
          <w:p w14:paraId="5806ABF6">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固定，无松动</w:t>
            </w:r>
          </w:p>
        </w:tc>
      </w:tr>
      <w:tr w14:paraId="3339F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62" w:type="dxa"/>
            <w:noWrap w:val="0"/>
            <w:vAlign w:val="center"/>
          </w:tcPr>
          <w:p w14:paraId="4F30F7DF">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61</w:t>
            </w:r>
          </w:p>
        </w:tc>
        <w:tc>
          <w:tcPr>
            <w:tcW w:w="2155" w:type="dxa"/>
            <w:gridSpan w:val="2"/>
            <w:noWrap w:val="0"/>
            <w:vAlign w:val="center"/>
          </w:tcPr>
          <w:p w14:paraId="5B3F2D11">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控制柜接触器、继电器触点</w:t>
            </w:r>
          </w:p>
        </w:tc>
        <w:tc>
          <w:tcPr>
            <w:tcW w:w="2272" w:type="dxa"/>
            <w:noWrap w:val="0"/>
            <w:vAlign w:val="center"/>
          </w:tcPr>
          <w:p w14:paraId="720195B8">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接触良好</w:t>
            </w:r>
          </w:p>
        </w:tc>
        <w:tc>
          <w:tcPr>
            <w:tcW w:w="278" w:type="dxa"/>
            <w:noWrap w:val="0"/>
            <w:vAlign w:val="center"/>
          </w:tcPr>
          <w:p w14:paraId="7EBB5C6B">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70</w:t>
            </w:r>
          </w:p>
        </w:tc>
        <w:tc>
          <w:tcPr>
            <w:tcW w:w="2068" w:type="dxa"/>
            <w:noWrap w:val="0"/>
            <w:vAlign w:val="center"/>
          </w:tcPr>
          <w:p w14:paraId="7F8A2A9E">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轿厢和对重/平衡重的导轨</w:t>
            </w:r>
          </w:p>
        </w:tc>
        <w:tc>
          <w:tcPr>
            <w:tcW w:w="2223" w:type="dxa"/>
            <w:noWrap w:val="0"/>
            <w:vAlign w:val="center"/>
          </w:tcPr>
          <w:p w14:paraId="30D2F6B6">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清洁，压板牢固</w:t>
            </w:r>
          </w:p>
        </w:tc>
      </w:tr>
      <w:tr w14:paraId="3E026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262" w:type="dxa"/>
            <w:noWrap w:val="0"/>
            <w:vAlign w:val="center"/>
          </w:tcPr>
          <w:p w14:paraId="63D96CDA">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62</w:t>
            </w:r>
          </w:p>
        </w:tc>
        <w:tc>
          <w:tcPr>
            <w:tcW w:w="2155" w:type="dxa"/>
            <w:gridSpan w:val="2"/>
            <w:noWrap w:val="0"/>
            <w:vAlign w:val="center"/>
          </w:tcPr>
          <w:p w14:paraId="60D80089">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制动器铁芯（柱塞）</w:t>
            </w:r>
          </w:p>
        </w:tc>
        <w:tc>
          <w:tcPr>
            <w:tcW w:w="2272" w:type="dxa"/>
            <w:noWrap w:val="0"/>
            <w:vAlign w:val="center"/>
          </w:tcPr>
          <w:p w14:paraId="6BDFA04E">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进行清洁、润滑、检查、磨损量不超过制造单位要求</w:t>
            </w:r>
          </w:p>
        </w:tc>
        <w:tc>
          <w:tcPr>
            <w:tcW w:w="278" w:type="dxa"/>
            <w:noWrap w:val="0"/>
            <w:vAlign w:val="center"/>
          </w:tcPr>
          <w:p w14:paraId="60BAA88A">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71</w:t>
            </w:r>
          </w:p>
        </w:tc>
        <w:tc>
          <w:tcPr>
            <w:tcW w:w="2068" w:type="dxa"/>
            <w:noWrap w:val="0"/>
            <w:vAlign w:val="center"/>
          </w:tcPr>
          <w:p w14:paraId="22826620">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随行电缆</w:t>
            </w:r>
          </w:p>
        </w:tc>
        <w:tc>
          <w:tcPr>
            <w:tcW w:w="2223" w:type="dxa"/>
            <w:noWrap w:val="0"/>
            <w:vAlign w:val="center"/>
          </w:tcPr>
          <w:p w14:paraId="7EC0D727">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无损伤</w:t>
            </w:r>
          </w:p>
        </w:tc>
      </w:tr>
      <w:tr w14:paraId="67A98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262" w:type="dxa"/>
            <w:noWrap w:val="0"/>
            <w:vAlign w:val="center"/>
          </w:tcPr>
          <w:p w14:paraId="54D023BA">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63</w:t>
            </w:r>
          </w:p>
        </w:tc>
        <w:tc>
          <w:tcPr>
            <w:tcW w:w="2155" w:type="dxa"/>
            <w:gridSpan w:val="2"/>
            <w:noWrap w:val="0"/>
            <w:vAlign w:val="center"/>
          </w:tcPr>
          <w:p w14:paraId="250093AC">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制动器制动能力</w:t>
            </w:r>
          </w:p>
        </w:tc>
        <w:tc>
          <w:tcPr>
            <w:tcW w:w="2272" w:type="dxa"/>
            <w:noWrap w:val="0"/>
            <w:vAlign w:val="center"/>
          </w:tcPr>
          <w:p w14:paraId="58D51D03">
            <w:pPr>
              <w:keepNext w:val="0"/>
              <w:keepLines w:val="0"/>
              <w:pageBreakBefore w:val="0"/>
              <w:widowControl w:val="0"/>
              <w:kinsoku/>
              <w:wordWrap/>
              <w:overflowPunct/>
              <w:topLinePunct w:val="0"/>
              <w:autoSpaceDE/>
              <w:autoSpaceDN/>
              <w:bidi w:val="0"/>
              <w:adjustRightInd/>
              <w:snapToGrid/>
              <w:spacing w:line="160" w:lineRule="exact"/>
              <w:ind w:left="0" w:leftChars="0" w:right="-3" w:rightChars="0" w:firstLine="0" w:firstLineChars="0"/>
              <w:jc w:val="both"/>
              <w:textAlignment w:val="auto"/>
              <w:outlineLvl w:val="9"/>
              <w:rPr>
                <w:rFonts w:hint="eastAsia"/>
                <w:b/>
                <w:sz w:val="18"/>
                <w:szCs w:val="18"/>
                <w:vertAlign w:val="baseline"/>
              </w:rPr>
            </w:pPr>
            <w:r>
              <w:rPr>
                <w:rFonts w:hint="eastAsia"/>
                <w:spacing w:val="-6"/>
                <w:sz w:val="15"/>
                <w:szCs w:val="15"/>
                <w:lang w:val="en-US" w:eastAsia="zh-CN"/>
              </w:rPr>
              <w:t>符合制造单位要求，保持有足够的制动力，必要时进行轿厢装载125%额定载重量的制动试验</w:t>
            </w:r>
          </w:p>
        </w:tc>
        <w:tc>
          <w:tcPr>
            <w:tcW w:w="278" w:type="dxa"/>
            <w:noWrap w:val="0"/>
            <w:vAlign w:val="center"/>
          </w:tcPr>
          <w:p w14:paraId="64723B8B">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72</w:t>
            </w:r>
          </w:p>
        </w:tc>
        <w:tc>
          <w:tcPr>
            <w:tcW w:w="2068" w:type="dxa"/>
            <w:noWrap w:val="0"/>
            <w:vAlign w:val="center"/>
          </w:tcPr>
          <w:p w14:paraId="104FF2C9">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层门装置和地坎</w:t>
            </w:r>
          </w:p>
        </w:tc>
        <w:tc>
          <w:tcPr>
            <w:tcW w:w="2223" w:type="dxa"/>
            <w:noWrap w:val="0"/>
            <w:vAlign w:val="center"/>
          </w:tcPr>
          <w:p w14:paraId="23277056">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无影响正常使用的变形，各安装螺栓紧固</w:t>
            </w:r>
          </w:p>
        </w:tc>
      </w:tr>
      <w:tr w14:paraId="46974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62" w:type="dxa"/>
            <w:noWrap w:val="0"/>
            <w:vAlign w:val="center"/>
          </w:tcPr>
          <w:p w14:paraId="2ECF6C9E">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64</w:t>
            </w:r>
          </w:p>
        </w:tc>
        <w:tc>
          <w:tcPr>
            <w:tcW w:w="2155" w:type="dxa"/>
            <w:gridSpan w:val="2"/>
            <w:noWrap w:val="0"/>
            <w:vAlign w:val="center"/>
          </w:tcPr>
          <w:p w14:paraId="0313567D">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导电回路绝缘性能测试</w:t>
            </w:r>
          </w:p>
        </w:tc>
        <w:tc>
          <w:tcPr>
            <w:tcW w:w="2272" w:type="dxa"/>
            <w:noWrap w:val="0"/>
            <w:vAlign w:val="center"/>
          </w:tcPr>
          <w:p w14:paraId="1CD1A88A">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符合标准</w:t>
            </w:r>
          </w:p>
        </w:tc>
        <w:tc>
          <w:tcPr>
            <w:tcW w:w="278" w:type="dxa"/>
            <w:noWrap w:val="0"/>
            <w:vAlign w:val="center"/>
          </w:tcPr>
          <w:p w14:paraId="49556654">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73</w:t>
            </w:r>
          </w:p>
        </w:tc>
        <w:tc>
          <w:tcPr>
            <w:tcW w:w="2068" w:type="dxa"/>
            <w:noWrap w:val="0"/>
            <w:vAlign w:val="center"/>
          </w:tcPr>
          <w:p w14:paraId="419DAD94">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轿厢称重装置</w:t>
            </w:r>
          </w:p>
        </w:tc>
        <w:tc>
          <w:tcPr>
            <w:tcW w:w="2223" w:type="dxa"/>
            <w:noWrap w:val="0"/>
            <w:vAlign w:val="center"/>
          </w:tcPr>
          <w:p w14:paraId="047E068C">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准确有效</w:t>
            </w:r>
          </w:p>
        </w:tc>
      </w:tr>
      <w:tr w14:paraId="4BA33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62" w:type="dxa"/>
            <w:noWrap w:val="0"/>
            <w:vAlign w:val="center"/>
          </w:tcPr>
          <w:p w14:paraId="20D37315">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65</w:t>
            </w:r>
          </w:p>
        </w:tc>
        <w:tc>
          <w:tcPr>
            <w:tcW w:w="2155" w:type="dxa"/>
            <w:gridSpan w:val="2"/>
            <w:noWrap w:val="0"/>
            <w:vAlign w:val="center"/>
          </w:tcPr>
          <w:p w14:paraId="3770DC22">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限速器安全钳联动试验</w:t>
            </w:r>
          </w:p>
        </w:tc>
        <w:tc>
          <w:tcPr>
            <w:tcW w:w="2272" w:type="dxa"/>
            <w:noWrap w:val="0"/>
            <w:vAlign w:val="center"/>
          </w:tcPr>
          <w:p w14:paraId="0F6EF913">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工作正常</w:t>
            </w:r>
          </w:p>
        </w:tc>
        <w:tc>
          <w:tcPr>
            <w:tcW w:w="278" w:type="dxa"/>
            <w:noWrap w:val="0"/>
            <w:vAlign w:val="center"/>
          </w:tcPr>
          <w:p w14:paraId="2AFAC4E8">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74</w:t>
            </w:r>
          </w:p>
        </w:tc>
        <w:tc>
          <w:tcPr>
            <w:tcW w:w="2068" w:type="dxa"/>
            <w:noWrap w:val="0"/>
            <w:vAlign w:val="center"/>
          </w:tcPr>
          <w:p w14:paraId="29F64FDA">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安全钳钳座</w:t>
            </w:r>
          </w:p>
        </w:tc>
        <w:tc>
          <w:tcPr>
            <w:tcW w:w="2223" w:type="dxa"/>
            <w:noWrap w:val="0"/>
            <w:vAlign w:val="center"/>
          </w:tcPr>
          <w:p w14:paraId="1B609B62">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固定，无松动</w:t>
            </w:r>
          </w:p>
        </w:tc>
      </w:tr>
      <w:tr w14:paraId="1AD95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62" w:type="dxa"/>
            <w:noWrap w:val="0"/>
            <w:vAlign w:val="center"/>
          </w:tcPr>
          <w:p w14:paraId="265BC300">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66</w:t>
            </w:r>
          </w:p>
        </w:tc>
        <w:tc>
          <w:tcPr>
            <w:tcW w:w="2155" w:type="dxa"/>
            <w:gridSpan w:val="2"/>
            <w:noWrap w:val="0"/>
            <w:vAlign w:val="center"/>
          </w:tcPr>
          <w:p w14:paraId="3B0C4D44">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pacing w:val="-6"/>
                <w:sz w:val="18"/>
                <w:szCs w:val="18"/>
                <w:lang w:val="en-US" w:eastAsia="zh-CN"/>
              </w:rPr>
              <w:t>上行超速保护装置动作试验</w:t>
            </w:r>
          </w:p>
        </w:tc>
        <w:tc>
          <w:tcPr>
            <w:tcW w:w="2272" w:type="dxa"/>
            <w:noWrap w:val="0"/>
            <w:vAlign w:val="center"/>
          </w:tcPr>
          <w:p w14:paraId="446A861E">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工作正常</w:t>
            </w:r>
          </w:p>
        </w:tc>
        <w:tc>
          <w:tcPr>
            <w:tcW w:w="278" w:type="dxa"/>
            <w:noWrap w:val="0"/>
            <w:vAlign w:val="center"/>
          </w:tcPr>
          <w:p w14:paraId="4E02A60D">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75</w:t>
            </w:r>
          </w:p>
        </w:tc>
        <w:tc>
          <w:tcPr>
            <w:tcW w:w="2068" w:type="dxa"/>
            <w:noWrap w:val="0"/>
            <w:vAlign w:val="center"/>
          </w:tcPr>
          <w:p w14:paraId="49767E54">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轿底各安装螺栓</w:t>
            </w:r>
          </w:p>
        </w:tc>
        <w:tc>
          <w:tcPr>
            <w:tcW w:w="2223" w:type="dxa"/>
            <w:noWrap w:val="0"/>
            <w:vAlign w:val="center"/>
          </w:tcPr>
          <w:p w14:paraId="2D3C9B1D">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紧固</w:t>
            </w:r>
          </w:p>
        </w:tc>
      </w:tr>
      <w:tr w14:paraId="464A1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262" w:type="dxa"/>
            <w:noWrap w:val="0"/>
            <w:vAlign w:val="center"/>
          </w:tcPr>
          <w:p w14:paraId="45A9DCCC">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67</w:t>
            </w:r>
          </w:p>
        </w:tc>
        <w:tc>
          <w:tcPr>
            <w:tcW w:w="2155" w:type="dxa"/>
            <w:gridSpan w:val="2"/>
            <w:noWrap w:val="0"/>
            <w:vAlign w:val="center"/>
          </w:tcPr>
          <w:p w14:paraId="3A707801">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pacing w:val="-10"/>
                <w:sz w:val="18"/>
                <w:szCs w:val="18"/>
                <w:vertAlign w:val="baseline"/>
              </w:rPr>
            </w:pPr>
            <w:r>
              <w:rPr>
                <w:rFonts w:hint="eastAsia"/>
                <w:spacing w:val="-10"/>
                <w:sz w:val="18"/>
                <w:szCs w:val="18"/>
                <w:lang w:val="en-US" w:eastAsia="zh-CN"/>
              </w:rPr>
              <w:t>轿厢意外移动保护装置动作试验</w:t>
            </w:r>
          </w:p>
        </w:tc>
        <w:tc>
          <w:tcPr>
            <w:tcW w:w="2272" w:type="dxa"/>
            <w:noWrap w:val="0"/>
            <w:vAlign w:val="center"/>
          </w:tcPr>
          <w:p w14:paraId="42DE3F9D">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工作正常</w:t>
            </w:r>
          </w:p>
        </w:tc>
        <w:tc>
          <w:tcPr>
            <w:tcW w:w="278" w:type="dxa"/>
            <w:noWrap w:val="0"/>
            <w:vAlign w:val="center"/>
          </w:tcPr>
          <w:p w14:paraId="75E699EB">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76</w:t>
            </w:r>
          </w:p>
        </w:tc>
        <w:tc>
          <w:tcPr>
            <w:tcW w:w="2068" w:type="dxa"/>
            <w:noWrap w:val="0"/>
            <w:vAlign w:val="center"/>
          </w:tcPr>
          <w:p w14:paraId="353BB9DE">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缓冲器</w:t>
            </w:r>
          </w:p>
        </w:tc>
        <w:tc>
          <w:tcPr>
            <w:tcW w:w="2223" w:type="dxa"/>
            <w:noWrap w:val="0"/>
            <w:vAlign w:val="center"/>
          </w:tcPr>
          <w:p w14:paraId="5E801A0B">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固定，无松动</w:t>
            </w:r>
          </w:p>
        </w:tc>
      </w:tr>
      <w:tr w14:paraId="12F78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262" w:type="dxa"/>
            <w:noWrap w:val="0"/>
            <w:vAlign w:val="center"/>
          </w:tcPr>
          <w:p w14:paraId="24AFC414">
            <w:pPr>
              <w:keepNext w:val="0"/>
              <w:keepLines w:val="0"/>
              <w:pageBreakBefore w:val="0"/>
              <w:widowControl w:val="0"/>
              <w:kinsoku/>
              <w:wordWrap/>
              <w:overflowPunct/>
              <w:topLinePunct w:val="0"/>
              <w:autoSpaceDE/>
              <w:autoSpaceDN/>
              <w:bidi w:val="0"/>
              <w:adjustRightInd/>
              <w:snapToGrid/>
              <w:spacing w:line="280" w:lineRule="exact"/>
              <w:ind w:left="-65" w:leftChars="-31" w:right="-80" w:rightChars="-38" w:firstLine="0" w:firstLineChars="0"/>
              <w:jc w:val="center"/>
              <w:textAlignment w:val="auto"/>
              <w:outlineLvl w:val="9"/>
              <w:rPr>
                <w:rFonts w:hint="eastAsia"/>
                <w:b/>
                <w:sz w:val="18"/>
                <w:szCs w:val="18"/>
                <w:vertAlign w:val="baseline"/>
              </w:rPr>
            </w:pPr>
            <w:r>
              <w:rPr>
                <w:rFonts w:hint="eastAsia"/>
                <w:color w:val="auto"/>
                <w:sz w:val="18"/>
                <w:szCs w:val="18"/>
                <w:lang w:val="en-US" w:eastAsia="zh-CN"/>
              </w:rPr>
              <w:t>68</w:t>
            </w:r>
          </w:p>
        </w:tc>
        <w:tc>
          <w:tcPr>
            <w:tcW w:w="2155" w:type="dxa"/>
            <w:gridSpan w:val="2"/>
            <w:noWrap w:val="0"/>
            <w:vAlign w:val="center"/>
          </w:tcPr>
          <w:p w14:paraId="5212DFB2">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轿顶、轿厢架、轿门及其附件安装螺栓</w:t>
            </w:r>
          </w:p>
        </w:tc>
        <w:tc>
          <w:tcPr>
            <w:tcW w:w="2272" w:type="dxa"/>
            <w:noWrap w:val="0"/>
            <w:vAlign w:val="center"/>
          </w:tcPr>
          <w:p w14:paraId="58265326">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r>
              <w:rPr>
                <w:rFonts w:hint="eastAsia"/>
                <w:sz w:val="18"/>
                <w:szCs w:val="18"/>
                <w:lang w:val="en-US" w:eastAsia="zh-CN"/>
              </w:rPr>
              <w:t>紧固</w:t>
            </w:r>
          </w:p>
        </w:tc>
        <w:tc>
          <w:tcPr>
            <w:tcW w:w="278" w:type="dxa"/>
            <w:noWrap w:val="0"/>
            <w:vAlign w:val="center"/>
          </w:tcPr>
          <w:p w14:paraId="2FB5AA76">
            <w:pPr>
              <w:keepNext w:val="0"/>
              <w:keepLines w:val="0"/>
              <w:pageBreakBefore w:val="0"/>
              <w:widowControl w:val="0"/>
              <w:kinsoku/>
              <w:wordWrap/>
              <w:overflowPunct/>
              <w:topLinePunct w:val="0"/>
              <w:autoSpaceDE/>
              <w:autoSpaceDN/>
              <w:bidi w:val="0"/>
              <w:adjustRightInd/>
              <w:snapToGrid/>
              <w:spacing w:line="280" w:lineRule="exact"/>
              <w:ind w:left="0" w:leftChars="0" w:right="-3" w:rightChars="0" w:firstLine="0" w:firstLineChars="0"/>
              <w:textAlignment w:val="auto"/>
              <w:outlineLvl w:val="9"/>
              <w:rPr>
                <w:rFonts w:hint="eastAsia"/>
                <w:b/>
                <w:sz w:val="18"/>
                <w:szCs w:val="18"/>
                <w:vertAlign w:val="baseline"/>
              </w:rPr>
            </w:pPr>
          </w:p>
        </w:tc>
        <w:tc>
          <w:tcPr>
            <w:tcW w:w="2068" w:type="dxa"/>
            <w:noWrap w:val="0"/>
            <w:vAlign w:val="center"/>
          </w:tcPr>
          <w:p w14:paraId="263CD2C5">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p>
        </w:tc>
        <w:tc>
          <w:tcPr>
            <w:tcW w:w="2223" w:type="dxa"/>
            <w:noWrap w:val="0"/>
            <w:vAlign w:val="center"/>
          </w:tcPr>
          <w:p w14:paraId="091B2CE3">
            <w:pPr>
              <w:keepNext w:val="0"/>
              <w:keepLines w:val="0"/>
              <w:pageBreakBefore w:val="0"/>
              <w:widowControl w:val="0"/>
              <w:kinsoku/>
              <w:wordWrap/>
              <w:overflowPunct/>
              <w:topLinePunct w:val="0"/>
              <w:autoSpaceDE/>
              <w:autoSpaceDN/>
              <w:bidi w:val="0"/>
              <w:adjustRightInd/>
              <w:snapToGrid/>
              <w:spacing w:line="220" w:lineRule="exact"/>
              <w:ind w:left="0" w:leftChars="0" w:right="-3" w:rightChars="0" w:firstLine="0" w:firstLineChars="0"/>
              <w:jc w:val="both"/>
              <w:textAlignment w:val="auto"/>
              <w:outlineLvl w:val="9"/>
              <w:rPr>
                <w:rFonts w:hint="eastAsia"/>
                <w:b/>
                <w:sz w:val="18"/>
                <w:szCs w:val="18"/>
                <w:vertAlign w:val="baseline"/>
              </w:rPr>
            </w:pPr>
          </w:p>
        </w:tc>
      </w:tr>
    </w:tbl>
    <w:p w14:paraId="27F8D9D5">
      <w:pPr>
        <w:widowControl/>
        <w:snapToGrid w:val="0"/>
        <w:spacing w:line="500" w:lineRule="exact"/>
        <w:jc w:val="both"/>
        <w:rPr>
          <w:rFonts w:hint="eastAsia"/>
          <w:b/>
          <w:sz w:val="28"/>
          <w:szCs w:val="28"/>
          <w:lang w:val="en-US" w:eastAsia="zh-CN"/>
        </w:rPr>
      </w:pPr>
      <w:r>
        <w:rPr>
          <w:rFonts w:hint="eastAsia"/>
          <w:b/>
          <w:sz w:val="28"/>
          <w:szCs w:val="28"/>
          <w:lang w:val="en-US" w:eastAsia="zh-CN"/>
        </w:rPr>
        <w:t>附件2</w:t>
      </w:r>
    </w:p>
    <w:tbl>
      <w:tblPr>
        <w:tblStyle w:val="6"/>
        <w:tblW w:w="96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27"/>
        <w:gridCol w:w="2952"/>
        <w:gridCol w:w="1067"/>
        <w:gridCol w:w="840"/>
        <w:gridCol w:w="860"/>
        <w:gridCol w:w="1254"/>
        <w:gridCol w:w="1211"/>
        <w:gridCol w:w="749"/>
      </w:tblGrid>
      <w:tr w14:paraId="65680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1" w:hRule="atLeast"/>
          <w:jc w:val="center"/>
        </w:trPr>
        <w:tc>
          <w:tcPr>
            <w:tcW w:w="9660" w:type="dxa"/>
            <w:gridSpan w:val="8"/>
            <w:tcBorders>
              <w:top w:val="nil"/>
              <w:left w:val="nil"/>
              <w:bottom w:val="nil"/>
              <w:right w:val="nil"/>
            </w:tcBorders>
            <w:shd w:val="clear" w:color="auto" w:fill="auto"/>
            <w:noWrap/>
            <w:vAlign w:val="center"/>
          </w:tcPr>
          <w:p w14:paraId="77973CD3">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广州市增城区中医医院电梯配件报价单</w:t>
            </w:r>
          </w:p>
        </w:tc>
      </w:tr>
      <w:tr w14:paraId="0595A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82" w:hRule="atLeast"/>
          <w:jc w:val="center"/>
        </w:trPr>
        <w:tc>
          <w:tcPr>
            <w:tcW w:w="0" w:type="auto"/>
            <w:tcBorders>
              <w:top w:val="single" w:color="000000" w:sz="4" w:space="0"/>
              <w:left w:val="single" w:color="000000" w:sz="4" w:space="0"/>
              <w:bottom w:val="nil"/>
              <w:right w:val="single" w:color="000000" w:sz="4" w:space="0"/>
            </w:tcBorders>
            <w:shd w:val="clear" w:color="auto" w:fill="auto"/>
            <w:noWrap/>
            <w:vAlign w:val="center"/>
          </w:tcPr>
          <w:p w14:paraId="41D13A6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49560FD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类型</w:t>
            </w:r>
          </w:p>
        </w:tc>
        <w:tc>
          <w:tcPr>
            <w:tcW w:w="937" w:type="dxa"/>
            <w:tcBorders>
              <w:top w:val="single" w:color="000000" w:sz="4" w:space="0"/>
              <w:left w:val="single" w:color="000000" w:sz="4" w:space="0"/>
              <w:bottom w:val="nil"/>
              <w:right w:val="single" w:color="000000" w:sz="4" w:space="0"/>
            </w:tcBorders>
            <w:shd w:val="clear" w:color="auto" w:fill="auto"/>
            <w:vAlign w:val="center"/>
          </w:tcPr>
          <w:p w14:paraId="7C0D3F4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维保维修品牌型号</w:t>
            </w:r>
          </w:p>
        </w:tc>
        <w:tc>
          <w:tcPr>
            <w:tcW w:w="738" w:type="dxa"/>
            <w:tcBorders>
              <w:top w:val="single" w:color="000000" w:sz="4" w:space="0"/>
              <w:left w:val="single" w:color="000000" w:sz="4" w:space="0"/>
              <w:bottom w:val="nil"/>
              <w:right w:val="single" w:color="000000" w:sz="4" w:space="0"/>
            </w:tcBorders>
            <w:shd w:val="clear" w:color="auto" w:fill="auto"/>
            <w:noWrap/>
            <w:vAlign w:val="center"/>
          </w:tcPr>
          <w:p w14:paraId="708265E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3AF5724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1353" w:type="dxa"/>
            <w:tcBorders>
              <w:top w:val="single" w:color="000000" w:sz="4" w:space="0"/>
              <w:left w:val="single" w:color="000000" w:sz="4" w:space="0"/>
              <w:bottom w:val="nil"/>
              <w:right w:val="single" w:color="000000" w:sz="4" w:space="0"/>
            </w:tcBorders>
            <w:shd w:val="clear" w:color="auto" w:fill="auto"/>
            <w:vAlign w:val="center"/>
          </w:tcPr>
          <w:p w14:paraId="5BA7793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最高报价单价（元）</w:t>
            </w:r>
          </w:p>
        </w:tc>
        <w:tc>
          <w:tcPr>
            <w:tcW w:w="12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72B0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预估维修费</w:t>
            </w:r>
            <w:r>
              <w:rPr>
                <w:rFonts w:hint="eastAsia" w:ascii="宋体" w:hAnsi="宋体" w:eastAsia="宋体" w:cs="宋体"/>
                <w:b/>
                <w:bCs/>
                <w:i w:val="0"/>
                <w:iCs w:val="0"/>
                <w:color w:val="000000"/>
                <w:kern w:val="0"/>
                <w:sz w:val="22"/>
                <w:szCs w:val="22"/>
                <w:u w:val="none"/>
                <w:lang w:val="en-US" w:eastAsia="zh-CN" w:bidi="ar"/>
              </w:rPr>
              <w:br w:type="textWrapping"/>
            </w:r>
            <w:r>
              <w:rPr>
                <w:rFonts w:hint="eastAsia" w:ascii="宋体" w:hAnsi="宋体" w:eastAsia="宋体" w:cs="宋体"/>
                <w:b/>
                <w:bCs/>
                <w:i w:val="0"/>
                <w:iCs w:val="0"/>
                <w:color w:val="000000"/>
                <w:kern w:val="0"/>
                <w:sz w:val="22"/>
                <w:szCs w:val="22"/>
                <w:u w:val="none"/>
                <w:lang w:val="en-US" w:eastAsia="zh-CN" w:bidi="ar"/>
              </w:rPr>
              <w:t>（元）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311D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14:paraId="71726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0AE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712A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安全钳（联动测试费）</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05995">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60C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A51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FD5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17A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27C6A">
            <w:pPr>
              <w:rPr>
                <w:rFonts w:hint="eastAsia" w:ascii="宋体" w:hAnsi="宋体" w:eastAsia="宋体" w:cs="宋体"/>
                <w:i w:val="0"/>
                <w:iCs w:val="0"/>
                <w:color w:val="000000"/>
                <w:sz w:val="22"/>
                <w:szCs w:val="22"/>
                <w:u w:val="none"/>
              </w:rPr>
            </w:pPr>
          </w:p>
        </w:tc>
      </w:tr>
      <w:tr w14:paraId="51FD7E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EFE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38A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载荷（125%试验）</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6B3BA">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6F9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D8DB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EC0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543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7BC41">
            <w:pPr>
              <w:rPr>
                <w:rFonts w:hint="eastAsia" w:ascii="宋体" w:hAnsi="宋体" w:eastAsia="宋体" w:cs="宋体"/>
                <w:i w:val="0"/>
                <w:iCs w:val="0"/>
                <w:color w:val="000000"/>
                <w:sz w:val="22"/>
                <w:szCs w:val="22"/>
                <w:u w:val="none"/>
              </w:rPr>
            </w:pPr>
          </w:p>
        </w:tc>
      </w:tr>
      <w:tr w14:paraId="3A3D5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DFC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6DC1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安装空调</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（艾优2.0版电梯空调1.5P(单冷)/TD-K1-2.0）</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E38C4">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9A9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389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2DB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6D9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C5F09">
            <w:pPr>
              <w:rPr>
                <w:rFonts w:hint="eastAsia" w:ascii="宋体" w:hAnsi="宋体" w:eastAsia="宋体" w:cs="宋体"/>
                <w:i w:val="0"/>
                <w:iCs w:val="0"/>
                <w:color w:val="000000"/>
                <w:sz w:val="22"/>
                <w:szCs w:val="22"/>
                <w:u w:val="none"/>
              </w:rPr>
            </w:pPr>
          </w:p>
        </w:tc>
      </w:tr>
      <w:tr w14:paraId="095F1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ADB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D05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裁剪钢丝绳</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AB436">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40A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2DF6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A52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E5C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B7CA6">
            <w:pPr>
              <w:rPr>
                <w:rFonts w:hint="eastAsia" w:ascii="宋体" w:hAnsi="宋体" w:eastAsia="宋体" w:cs="宋体"/>
                <w:i w:val="0"/>
                <w:iCs w:val="0"/>
                <w:color w:val="000000"/>
                <w:sz w:val="22"/>
                <w:szCs w:val="22"/>
                <w:u w:val="none"/>
              </w:rPr>
            </w:pPr>
          </w:p>
        </w:tc>
      </w:tr>
      <w:tr w14:paraId="61C8F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6"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10C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D7C88">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电梯对讲机布线（含人工费）</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6CC33">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CF8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0492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574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60D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19DE5">
            <w:pPr>
              <w:rPr>
                <w:rFonts w:hint="eastAsia" w:ascii="宋体" w:hAnsi="宋体" w:eastAsia="宋体" w:cs="宋体"/>
                <w:i w:val="0"/>
                <w:iCs w:val="0"/>
                <w:color w:val="000000"/>
                <w:sz w:val="22"/>
                <w:szCs w:val="22"/>
                <w:u w:val="none"/>
              </w:rPr>
            </w:pPr>
          </w:p>
        </w:tc>
      </w:tr>
      <w:tr w14:paraId="6740E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A2B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5B2D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对重块（平衡数系评估）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7F6C7">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3B5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C5B4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E1C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743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94FEB">
            <w:pPr>
              <w:rPr>
                <w:rFonts w:hint="eastAsia" w:ascii="宋体" w:hAnsi="宋体" w:eastAsia="宋体" w:cs="宋体"/>
                <w:i w:val="0"/>
                <w:iCs w:val="0"/>
                <w:color w:val="000000"/>
                <w:sz w:val="22"/>
                <w:szCs w:val="22"/>
                <w:u w:val="none"/>
              </w:rPr>
            </w:pPr>
          </w:p>
        </w:tc>
      </w:tr>
      <w:tr w14:paraId="6087F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337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0B58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更换导靴</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21146">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9B2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23B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F1E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E65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450A1">
            <w:pPr>
              <w:rPr>
                <w:rFonts w:hint="eastAsia" w:ascii="宋体" w:hAnsi="宋体" w:eastAsia="宋体" w:cs="宋体"/>
                <w:i w:val="0"/>
                <w:iCs w:val="0"/>
                <w:color w:val="000000"/>
                <w:sz w:val="22"/>
                <w:szCs w:val="22"/>
                <w:u w:val="none"/>
              </w:rPr>
            </w:pPr>
          </w:p>
        </w:tc>
      </w:tr>
      <w:tr w14:paraId="57AB7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20C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FD9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更换油杯</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D2778">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D3A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B52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43C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F8E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37E95">
            <w:pPr>
              <w:rPr>
                <w:rFonts w:hint="eastAsia" w:ascii="宋体" w:hAnsi="宋体" w:eastAsia="宋体" w:cs="宋体"/>
                <w:i w:val="0"/>
                <w:iCs w:val="0"/>
                <w:color w:val="000000"/>
                <w:sz w:val="22"/>
                <w:szCs w:val="22"/>
                <w:u w:val="none"/>
              </w:rPr>
            </w:pPr>
          </w:p>
        </w:tc>
      </w:tr>
      <w:tr w14:paraId="0E288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8A1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D5A0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更换换速装置</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F27A0">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4EF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71A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CA5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F39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7040E">
            <w:pPr>
              <w:rPr>
                <w:rFonts w:hint="eastAsia" w:ascii="宋体" w:hAnsi="宋体" w:eastAsia="宋体" w:cs="宋体"/>
                <w:i w:val="0"/>
                <w:iCs w:val="0"/>
                <w:color w:val="000000"/>
                <w:sz w:val="22"/>
                <w:szCs w:val="22"/>
                <w:u w:val="none"/>
              </w:rPr>
            </w:pPr>
          </w:p>
        </w:tc>
      </w:tr>
      <w:tr w14:paraId="49F99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34C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C9AC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更换底坑保护装置</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14826">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739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94F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E37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A8B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1281D">
            <w:pPr>
              <w:rPr>
                <w:rFonts w:hint="eastAsia" w:ascii="宋体" w:hAnsi="宋体" w:eastAsia="宋体" w:cs="宋体"/>
                <w:i w:val="0"/>
                <w:iCs w:val="0"/>
                <w:color w:val="000000"/>
                <w:sz w:val="22"/>
                <w:szCs w:val="22"/>
                <w:u w:val="none"/>
              </w:rPr>
            </w:pPr>
          </w:p>
        </w:tc>
      </w:tr>
      <w:tr w14:paraId="22E14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6A4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03C9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更换涨紧轮</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9A951">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4A4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E3C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C35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212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05A4F">
            <w:pPr>
              <w:rPr>
                <w:rFonts w:hint="eastAsia" w:ascii="宋体" w:hAnsi="宋体" w:eastAsia="宋体" w:cs="宋体"/>
                <w:i w:val="0"/>
                <w:iCs w:val="0"/>
                <w:color w:val="000000"/>
                <w:sz w:val="22"/>
                <w:szCs w:val="22"/>
                <w:u w:val="none"/>
              </w:rPr>
            </w:pPr>
          </w:p>
        </w:tc>
      </w:tr>
      <w:tr w14:paraId="2F6E0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631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A0E7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更换称量控制器</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83FED">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CAE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610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C73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A0B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56339">
            <w:pPr>
              <w:rPr>
                <w:rFonts w:hint="eastAsia" w:ascii="宋体" w:hAnsi="宋体" w:eastAsia="宋体" w:cs="宋体"/>
                <w:i w:val="0"/>
                <w:iCs w:val="0"/>
                <w:color w:val="000000"/>
                <w:sz w:val="22"/>
                <w:szCs w:val="22"/>
                <w:u w:val="none"/>
              </w:rPr>
            </w:pPr>
          </w:p>
        </w:tc>
      </w:tr>
      <w:tr w14:paraId="42993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BC2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5A4B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更换按钮</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5B0E9">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1F5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0B7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4EA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FCC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DE245">
            <w:pPr>
              <w:rPr>
                <w:rFonts w:hint="eastAsia" w:ascii="宋体" w:hAnsi="宋体" w:eastAsia="宋体" w:cs="宋体"/>
                <w:i w:val="0"/>
                <w:iCs w:val="0"/>
                <w:color w:val="000000"/>
                <w:sz w:val="22"/>
                <w:szCs w:val="22"/>
                <w:u w:val="none"/>
              </w:rPr>
            </w:pPr>
          </w:p>
        </w:tc>
      </w:tr>
      <w:tr w14:paraId="6D3EF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BD5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14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9DC3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更换MC接触器</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B89C7">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F9A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9EB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FE5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9F2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55273">
            <w:pPr>
              <w:rPr>
                <w:rFonts w:hint="eastAsia" w:ascii="宋体" w:hAnsi="宋体" w:eastAsia="宋体" w:cs="宋体"/>
                <w:i w:val="0"/>
                <w:iCs w:val="0"/>
                <w:color w:val="000000"/>
                <w:sz w:val="22"/>
                <w:szCs w:val="22"/>
                <w:u w:val="none"/>
              </w:rPr>
            </w:pPr>
          </w:p>
        </w:tc>
      </w:tr>
      <w:tr w14:paraId="78333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0B3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15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32D3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更换运行接触器</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90B26">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C40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97C4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85E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F72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186A6">
            <w:pPr>
              <w:rPr>
                <w:rFonts w:hint="eastAsia" w:ascii="宋体" w:hAnsi="宋体" w:eastAsia="宋体" w:cs="宋体"/>
                <w:i w:val="0"/>
                <w:iCs w:val="0"/>
                <w:color w:val="000000"/>
                <w:sz w:val="22"/>
                <w:szCs w:val="22"/>
                <w:u w:val="none"/>
              </w:rPr>
            </w:pPr>
          </w:p>
        </w:tc>
      </w:tr>
      <w:tr w14:paraId="657CC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A76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16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396A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更换抱闸接触器</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A372F">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C6C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BDD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81E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0C7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F622F">
            <w:pPr>
              <w:rPr>
                <w:rFonts w:hint="eastAsia" w:ascii="宋体" w:hAnsi="宋体" w:eastAsia="宋体" w:cs="宋体"/>
                <w:i w:val="0"/>
                <w:iCs w:val="0"/>
                <w:color w:val="000000"/>
                <w:sz w:val="22"/>
                <w:szCs w:val="22"/>
                <w:u w:val="none"/>
              </w:rPr>
            </w:pPr>
          </w:p>
        </w:tc>
      </w:tr>
      <w:tr w14:paraId="4224C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6B0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17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51A0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更换抱闸检测装置</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E1DF0">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BAA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05DC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943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469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39FE8">
            <w:pPr>
              <w:rPr>
                <w:rFonts w:hint="eastAsia" w:ascii="宋体" w:hAnsi="宋体" w:eastAsia="宋体" w:cs="宋体"/>
                <w:i w:val="0"/>
                <w:iCs w:val="0"/>
                <w:color w:val="000000"/>
                <w:sz w:val="22"/>
                <w:szCs w:val="22"/>
                <w:u w:val="none"/>
              </w:rPr>
            </w:pPr>
          </w:p>
        </w:tc>
      </w:tr>
      <w:tr w14:paraId="590D6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BD8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18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E30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更换电梯编码器</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22F72">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EAB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CDB4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C8C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121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55701">
            <w:pPr>
              <w:rPr>
                <w:rFonts w:hint="eastAsia" w:ascii="宋体" w:hAnsi="宋体" w:eastAsia="宋体" w:cs="宋体"/>
                <w:i w:val="0"/>
                <w:iCs w:val="0"/>
                <w:color w:val="000000"/>
                <w:sz w:val="22"/>
                <w:szCs w:val="22"/>
                <w:u w:val="none"/>
              </w:rPr>
            </w:pPr>
          </w:p>
        </w:tc>
      </w:tr>
      <w:tr w14:paraId="3066D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76F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19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E498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更换电梯电源</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EAD49">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C54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4AFF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9E4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AD6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32AA2">
            <w:pPr>
              <w:rPr>
                <w:rFonts w:hint="eastAsia" w:ascii="宋体" w:hAnsi="宋体" w:eastAsia="宋体" w:cs="宋体"/>
                <w:i w:val="0"/>
                <w:iCs w:val="0"/>
                <w:color w:val="000000"/>
                <w:sz w:val="22"/>
                <w:szCs w:val="22"/>
                <w:u w:val="none"/>
              </w:rPr>
            </w:pPr>
          </w:p>
        </w:tc>
      </w:tr>
      <w:tr w14:paraId="23467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E5E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F54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更换电梯对讲机</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78FA7">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BA5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FDAA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B67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DEC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3A4FE">
            <w:pPr>
              <w:rPr>
                <w:rFonts w:hint="eastAsia" w:ascii="宋体" w:hAnsi="宋体" w:eastAsia="宋体" w:cs="宋体"/>
                <w:i w:val="0"/>
                <w:iCs w:val="0"/>
                <w:color w:val="000000"/>
                <w:sz w:val="22"/>
                <w:szCs w:val="22"/>
                <w:u w:val="none"/>
              </w:rPr>
            </w:pPr>
          </w:p>
        </w:tc>
      </w:tr>
      <w:tr w14:paraId="10CA2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609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21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DBE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更换电梯语音报站</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53594">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5C9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BA7B9">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256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605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CB8B4">
            <w:pPr>
              <w:rPr>
                <w:rFonts w:hint="eastAsia" w:ascii="宋体" w:hAnsi="宋体" w:eastAsia="宋体" w:cs="宋体"/>
                <w:i w:val="0"/>
                <w:iCs w:val="0"/>
                <w:color w:val="000000"/>
                <w:sz w:val="22"/>
                <w:szCs w:val="22"/>
                <w:u w:val="none"/>
              </w:rPr>
            </w:pPr>
          </w:p>
        </w:tc>
      </w:tr>
      <w:tr w14:paraId="2A31E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AD3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22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692D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更换对讲应急电源</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C388A">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7C9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FB53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1B1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B8E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8A859">
            <w:pPr>
              <w:rPr>
                <w:rFonts w:hint="eastAsia" w:ascii="宋体" w:hAnsi="宋体" w:eastAsia="宋体" w:cs="宋体"/>
                <w:i w:val="0"/>
                <w:iCs w:val="0"/>
                <w:color w:val="000000"/>
                <w:sz w:val="22"/>
                <w:szCs w:val="22"/>
                <w:u w:val="none"/>
              </w:rPr>
            </w:pPr>
          </w:p>
        </w:tc>
      </w:tr>
      <w:tr w14:paraId="204A8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3C8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23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A32F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更换感应器</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F31D1">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8DC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9748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4C7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2C5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9331B">
            <w:pPr>
              <w:rPr>
                <w:rFonts w:hint="eastAsia" w:ascii="宋体" w:hAnsi="宋体" w:eastAsia="宋体" w:cs="宋体"/>
                <w:i w:val="0"/>
                <w:iCs w:val="0"/>
                <w:color w:val="000000"/>
                <w:sz w:val="22"/>
                <w:szCs w:val="22"/>
                <w:u w:val="none"/>
              </w:rPr>
            </w:pPr>
          </w:p>
        </w:tc>
      </w:tr>
      <w:tr w14:paraId="4B116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D53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F4A6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更换钢丝绳</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362E1">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9EF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B94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4DF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AB3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4622D">
            <w:pPr>
              <w:rPr>
                <w:rFonts w:hint="eastAsia" w:ascii="宋体" w:hAnsi="宋体" w:eastAsia="宋体" w:cs="宋体"/>
                <w:i w:val="0"/>
                <w:iCs w:val="0"/>
                <w:color w:val="000000"/>
                <w:sz w:val="22"/>
                <w:szCs w:val="22"/>
                <w:u w:val="none"/>
              </w:rPr>
            </w:pPr>
          </w:p>
        </w:tc>
      </w:tr>
      <w:tr w14:paraId="07E96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97C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289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更换光幕</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4791B">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3A0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2C86D">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48B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957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1EA9B">
            <w:pPr>
              <w:rPr>
                <w:rFonts w:hint="eastAsia" w:ascii="宋体" w:hAnsi="宋体" w:eastAsia="宋体" w:cs="宋体"/>
                <w:i w:val="0"/>
                <w:iCs w:val="0"/>
                <w:color w:val="000000"/>
                <w:sz w:val="22"/>
                <w:szCs w:val="22"/>
                <w:u w:val="none"/>
              </w:rPr>
            </w:pPr>
          </w:p>
        </w:tc>
      </w:tr>
      <w:tr w14:paraId="38F1D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9EC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26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BA0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更换轿门挂板</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A4E48">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665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E90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F3D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B37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4E415">
            <w:pPr>
              <w:rPr>
                <w:rFonts w:hint="eastAsia" w:ascii="宋体" w:hAnsi="宋体" w:eastAsia="宋体" w:cs="宋体"/>
                <w:i w:val="0"/>
                <w:iCs w:val="0"/>
                <w:color w:val="000000"/>
                <w:sz w:val="22"/>
                <w:szCs w:val="22"/>
                <w:u w:val="none"/>
              </w:rPr>
            </w:pPr>
          </w:p>
        </w:tc>
      </w:tr>
      <w:tr w14:paraId="3FDDA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F99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27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B531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更换门厅挂板</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F7AE9">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60B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27F3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0FD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475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0F1B0">
            <w:pPr>
              <w:rPr>
                <w:rFonts w:hint="eastAsia" w:ascii="宋体" w:hAnsi="宋体" w:eastAsia="宋体" w:cs="宋体"/>
                <w:i w:val="0"/>
                <w:iCs w:val="0"/>
                <w:color w:val="000000"/>
                <w:sz w:val="22"/>
                <w:szCs w:val="22"/>
                <w:u w:val="none"/>
              </w:rPr>
            </w:pPr>
          </w:p>
        </w:tc>
      </w:tr>
      <w:tr w14:paraId="2F404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48F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28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C67D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更换轿门锁</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5B816">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4DE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只</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7A84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B73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6B4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0CDA4">
            <w:pPr>
              <w:rPr>
                <w:rFonts w:hint="eastAsia" w:ascii="宋体" w:hAnsi="宋体" w:eastAsia="宋体" w:cs="宋体"/>
                <w:i w:val="0"/>
                <w:iCs w:val="0"/>
                <w:color w:val="000000"/>
                <w:sz w:val="22"/>
                <w:szCs w:val="22"/>
                <w:u w:val="none"/>
              </w:rPr>
            </w:pPr>
          </w:p>
        </w:tc>
      </w:tr>
      <w:tr w14:paraId="24E8C6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932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29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601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更换厅门锁</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8B7F7">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308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6D48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A57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293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671D0">
            <w:pPr>
              <w:rPr>
                <w:rFonts w:hint="eastAsia" w:ascii="宋体" w:hAnsi="宋体" w:eastAsia="宋体" w:cs="宋体"/>
                <w:i w:val="0"/>
                <w:iCs w:val="0"/>
                <w:color w:val="000000"/>
                <w:sz w:val="22"/>
                <w:szCs w:val="22"/>
                <w:u w:val="none"/>
              </w:rPr>
            </w:pPr>
          </w:p>
        </w:tc>
      </w:tr>
      <w:tr w14:paraId="09675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FE0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863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更换轿厢风扇</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C2B7C">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347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64B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3E2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FF0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3857D">
            <w:pPr>
              <w:rPr>
                <w:rFonts w:hint="eastAsia" w:ascii="宋体" w:hAnsi="宋体" w:eastAsia="宋体" w:cs="宋体"/>
                <w:i w:val="0"/>
                <w:iCs w:val="0"/>
                <w:color w:val="000000"/>
                <w:sz w:val="22"/>
                <w:szCs w:val="22"/>
                <w:u w:val="none"/>
              </w:rPr>
            </w:pPr>
          </w:p>
        </w:tc>
      </w:tr>
      <w:tr w14:paraId="12B09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794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31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F33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更换轿厢通讯板</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8DC4E">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4EB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80AF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78F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54F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B1E67">
            <w:pPr>
              <w:rPr>
                <w:rFonts w:hint="eastAsia" w:ascii="宋体" w:hAnsi="宋体" w:eastAsia="宋体" w:cs="宋体"/>
                <w:i w:val="0"/>
                <w:iCs w:val="0"/>
                <w:color w:val="000000"/>
                <w:sz w:val="22"/>
                <w:szCs w:val="22"/>
                <w:u w:val="none"/>
              </w:rPr>
            </w:pPr>
          </w:p>
        </w:tc>
      </w:tr>
      <w:tr w14:paraId="013F2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27F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29B8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更换轿厢通讯显示板</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20374">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187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7759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DF2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8B3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A4AF4">
            <w:pPr>
              <w:rPr>
                <w:rFonts w:hint="eastAsia" w:ascii="宋体" w:hAnsi="宋体" w:eastAsia="宋体" w:cs="宋体"/>
                <w:i w:val="0"/>
                <w:iCs w:val="0"/>
                <w:color w:val="000000"/>
                <w:sz w:val="22"/>
                <w:szCs w:val="22"/>
                <w:u w:val="none"/>
              </w:rPr>
            </w:pPr>
          </w:p>
        </w:tc>
      </w:tr>
      <w:tr w14:paraId="38AD6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808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33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DE0A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更换轿厢主板</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ABCD4">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6B6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5112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426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16A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CAC6C">
            <w:pPr>
              <w:rPr>
                <w:rFonts w:hint="eastAsia" w:ascii="宋体" w:hAnsi="宋体" w:eastAsia="宋体" w:cs="宋体"/>
                <w:i w:val="0"/>
                <w:iCs w:val="0"/>
                <w:color w:val="000000"/>
                <w:sz w:val="22"/>
                <w:szCs w:val="22"/>
                <w:u w:val="none"/>
              </w:rPr>
            </w:pPr>
          </w:p>
        </w:tc>
      </w:tr>
      <w:tr w14:paraId="59775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009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34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F1DD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更换空调电缆</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B1F2B">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AE6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2548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0FE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218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F5DEE">
            <w:pPr>
              <w:rPr>
                <w:rFonts w:hint="eastAsia" w:ascii="宋体" w:hAnsi="宋体" w:eastAsia="宋体" w:cs="宋体"/>
                <w:i w:val="0"/>
                <w:iCs w:val="0"/>
                <w:color w:val="000000"/>
                <w:sz w:val="22"/>
                <w:szCs w:val="22"/>
                <w:u w:val="none"/>
              </w:rPr>
            </w:pPr>
          </w:p>
        </w:tc>
      </w:tr>
      <w:tr w14:paraId="7F2FD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C53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35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EA5A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更换控制电源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622F1">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321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E78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FE9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341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DC2EA">
            <w:pPr>
              <w:rPr>
                <w:rFonts w:hint="eastAsia" w:ascii="宋体" w:hAnsi="宋体" w:eastAsia="宋体" w:cs="宋体"/>
                <w:i w:val="0"/>
                <w:iCs w:val="0"/>
                <w:color w:val="000000"/>
                <w:sz w:val="22"/>
                <w:szCs w:val="22"/>
                <w:u w:val="none"/>
              </w:rPr>
            </w:pPr>
          </w:p>
        </w:tc>
      </w:tr>
      <w:tr w14:paraId="34975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DB6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36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0688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更换门机传动装置</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04A45">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A4D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7B26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197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797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6D7CB">
            <w:pPr>
              <w:rPr>
                <w:rFonts w:hint="eastAsia" w:ascii="宋体" w:hAnsi="宋体" w:eastAsia="宋体" w:cs="宋体"/>
                <w:i w:val="0"/>
                <w:iCs w:val="0"/>
                <w:color w:val="000000"/>
                <w:sz w:val="22"/>
                <w:szCs w:val="22"/>
                <w:u w:val="none"/>
              </w:rPr>
            </w:pPr>
          </w:p>
        </w:tc>
      </w:tr>
      <w:tr w14:paraId="504B1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671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37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7090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更换门机导向装置</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3F0AC">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CF2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67267">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E82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1CC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F9D99">
            <w:pPr>
              <w:rPr>
                <w:rFonts w:hint="eastAsia" w:ascii="宋体" w:hAnsi="宋体" w:eastAsia="宋体" w:cs="宋体"/>
                <w:i w:val="0"/>
                <w:iCs w:val="0"/>
                <w:color w:val="000000"/>
                <w:sz w:val="22"/>
                <w:szCs w:val="22"/>
                <w:u w:val="none"/>
              </w:rPr>
            </w:pPr>
          </w:p>
        </w:tc>
      </w:tr>
      <w:tr w14:paraId="4877B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304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38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B8F0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更换门机感应器</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85809">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13F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C666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C23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ECC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B6EB0">
            <w:pPr>
              <w:rPr>
                <w:rFonts w:hint="eastAsia" w:ascii="宋体" w:hAnsi="宋体" w:eastAsia="宋体" w:cs="宋体"/>
                <w:i w:val="0"/>
                <w:iCs w:val="0"/>
                <w:color w:val="000000"/>
                <w:sz w:val="22"/>
                <w:szCs w:val="22"/>
                <w:u w:val="none"/>
              </w:rPr>
            </w:pPr>
          </w:p>
        </w:tc>
      </w:tr>
      <w:tr w14:paraId="2611F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104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39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601B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更换门机皮带轮</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DA3CB">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64E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51B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ABE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A44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8DF05">
            <w:pPr>
              <w:rPr>
                <w:rFonts w:hint="eastAsia" w:ascii="宋体" w:hAnsi="宋体" w:eastAsia="宋体" w:cs="宋体"/>
                <w:i w:val="0"/>
                <w:iCs w:val="0"/>
                <w:color w:val="000000"/>
                <w:sz w:val="22"/>
                <w:szCs w:val="22"/>
                <w:u w:val="none"/>
              </w:rPr>
            </w:pPr>
          </w:p>
        </w:tc>
      </w:tr>
      <w:tr w14:paraId="6F1CB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0D2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40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108F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更换盘车轮装置</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4E0D3">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650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B993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43F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C20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8BC42">
            <w:pPr>
              <w:rPr>
                <w:rFonts w:hint="eastAsia" w:ascii="宋体" w:hAnsi="宋体" w:eastAsia="宋体" w:cs="宋体"/>
                <w:i w:val="0"/>
                <w:iCs w:val="0"/>
                <w:color w:val="000000"/>
                <w:sz w:val="22"/>
                <w:szCs w:val="22"/>
                <w:u w:val="none"/>
              </w:rPr>
            </w:pPr>
          </w:p>
        </w:tc>
      </w:tr>
      <w:tr w14:paraId="20AA8C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E06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41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4DD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更换随行电缆</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D2ED4">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E7C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6AC73">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B28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E1B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1B05F">
            <w:pPr>
              <w:rPr>
                <w:rFonts w:hint="eastAsia" w:ascii="宋体" w:hAnsi="宋体" w:eastAsia="宋体" w:cs="宋体"/>
                <w:i w:val="0"/>
                <w:iCs w:val="0"/>
                <w:color w:val="000000"/>
                <w:sz w:val="22"/>
                <w:szCs w:val="22"/>
                <w:u w:val="none"/>
              </w:rPr>
            </w:pPr>
          </w:p>
        </w:tc>
      </w:tr>
      <w:tr w14:paraId="6AA29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981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42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0604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更换厅门自闭器</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98DA8">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B45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C90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F12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4C7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2FC28">
            <w:pPr>
              <w:rPr>
                <w:rFonts w:hint="eastAsia" w:ascii="宋体" w:hAnsi="宋体" w:eastAsia="宋体" w:cs="宋体"/>
                <w:i w:val="0"/>
                <w:iCs w:val="0"/>
                <w:color w:val="000000"/>
                <w:sz w:val="22"/>
                <w:szCs w:val="22"/>
                <w:u w:val="none"/>
              </w:rPr>
            </w:pPr>
          </w:p>
        </w:tc>
      </w:tr>
      <w:tr w14:paraId="48913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434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43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727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更换外呼通讯板</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C9A9E">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5D4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C729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AAE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D52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7A22D">
            <w:pPr>
              <w:rPr>
                <w:rFonts w:hint="eastAsia" w:ascii="宋体" w:hAnsi="宋体" w:eastAsia="宋体" w:cs="宋体"/>
                <w:i w:val="0"/>
                <w:iCs w:val="0"/>
                <w:color w:val="000000"/>
                <w:sz w:val="22"/>
                <w:szCs w:val="22"/>
                <w:u w:val="none"/>
              </w:rPr>
            </w:pPr>
          </w:p>
        </w:tc>
      </w:tr>
      <w:tr w14:paraId="3ED0D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072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44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A739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更换物联网对讲系统</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05BAC">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65C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2967A">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7C7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078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9A259">
            <w:pPr>
              <w:rPr>
                <w:rFonts w:hint="eastAsia" w:ascii="宋体" w:hAnsi="宋体" w:eastAsia="宋体" w:cs="宋体"/>
                <w:i w:val="0"/>
                <w:iCs w:val="0"/>
                <w:color w:val="000000"/>
                <w:sz w:val="22"/>
                <w:szCs w:val="22"/>
                <w:u w:val="none"/>
              </w:rPr>
            </w:pPr>
          </w:p>
        </w:tc>
      </w:tr>
      <w:tr w14:paraId="016D3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317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CAA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更换门导条</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E4969">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E9E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440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AF1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A4F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4158F">
            <w:pPr>
              <w:rPr>
                <w:rFonts w:hint="eastAsia" w:ascii="宋体" w:hAnsi="宋体" w:eastAsia="宋体" w:cs="宋体"/>
                <w:i w:val="0"/>
                <w:iCs w:val="0"/>
                <w:color w:val="000000"/>
                <w:sz w:val="22"/>
                <w:szCs w:val="22"/>
                <w:u w:val="none"/>
              </w:rPr>
            </w:pPr>
          </w:p>
        </w:tc>
      </w:tr>
      <w:tr w14:paraId="466F3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78E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46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484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更换应急照明电源</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11691">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F54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D97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79F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617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6707E">
            <w:pPr>
              <w:rPr>
                <w:rFonts w:hint="eastAsia" w:ascii="宋体" w:hAnsi="宋体" w:eastAsia="宋体" w:cs="宋体"/>
                <w:i w:val="0"/>
                <w:iCs w:val="0"/>
                <w:color w:val="000000"/>
                <w:sz w:val="22"/>
                <w:szCs w:val="22"/>
                <w:u w:val="none"/>
              </w:rPr>
            </w:pPr>
          </w:p>
        </w:tc>
      </w:tr>
      <w:tr w14:paraId="0A222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1C1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47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F33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更换语音板</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EB487">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F31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B418B">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B96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F86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8EF84">
            <w:pPr>
              <w:rPr>
                <w:rFonts w:hint="eastAsia" w:ascii="宋体" w:hAnsi="宋体" w:eastAsia="宋体" w:cs="宋体"/>
                <w:i w:val="0"/>
                <w:iCs w:val="0"/>
                <w:color w:val="000000"/>
                <w:sz w:val="22"/>
                <w:szCs w:val="22"/>
                <w:u w:val="none"/>
              </w:rPr>
            </w:pPr>
          </w:p>
        </w:tc>
      </w:tr>
      <w:tr w14:paraId="079A3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483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F40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加装梯控系统</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0E5DE">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F1F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1D3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8DD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70C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38E5B">
            <w:pPr>
              <w:rPr>
                <w:rFonts w:hint="eastAsia" w:ascii="宋体" w:hAnsi="宋体" w:eastAsia="宋体" w:cs="宋体"/>
                <w:i w:val="0"/>
                <w:iCs w:val="0"/>
                <w:color w:val="000000"/>
                <w:sz w:val="22"/>
                <w:szCs w:val="22"/>
                <w:u w:val="none"/>
              </w:rPr>
            </w:pPr>
          </w:p>
        </w:tc>
      </w:tr>
      <w:tr w14:paraId="3673E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8D5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49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6657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更换门机皮带轮</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8EC1B">
            <w:pPr>
              <w:jc w:val="center"/>
              <w:rPr>
                <w:rFonts w:hint="default" w:ascii="Times New Roman" w:hAnsi="Times New Roman" w:eastAsia="宋体" w:cs="Times New Roman"/>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986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D1BE2">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0B7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B6A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4A3FB">
            <w:pPr>
              <w:rPr>
                <w:rFonts w:hint="eastAsia" w:ascii="宋体" w:hAnsi="宋体" w:eastAsia="宋体" w:cs="宋体"/>
                <w:i w:val="0"/>
                <w:iCs w:val="0"/>
                <w:color w:val="000000"/>
                <w:sz w:val="22"/>
                <w:szCs w:val="22"/>
                <w:u w:val="none"/>
              </w:rPr>
            </w:pPr>
          </w:p>
        </w:tc>
      </w:tr>
      <w:tr w14:paraId="47787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51F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CEB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配置电梯IC卡</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8E0E7">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9C1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062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87C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89C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094C5">
            <w:pPr>
              <w:rPr>
                <w:rFonts w:hint="eastAsia" w:ascii="宋体" w:hAnsi="宋体" w:eastAsia="宋体" w:cs="宋体"/>
                <w:i w:val="0"/>
                <w:iCs w:val="0"/>
                <w:color w:val="000000"/>
                <w:sz w:val="22"/>
                <w:szCs w:val="22"/>
                <w:u w:val="none"/>
              </w:rPr>
            </w:pPr>
          </w:p>
        </w:tc>
      </w:tr>
      <w:tr w14:paraId="6AF5A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F8C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51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EB7B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维修联接板</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E7056">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A4E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D14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9BE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582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BC261">
            <w:pPr>
              <w:rPr>
                <w:rFonts w:hint="eastAsia" w:ascii="宋体" w:hAnsi="宋体" w:eastAsia="宋体" w:cs="宋体"/>
                <w:i w:val="0"/>
                <w:iCs w:val="0"/>
                <w:color w:val="000000"/>
                <w:sz w:val="22"/>
                <w:szCs w:val="22"/>
                <w:u w:val="none"/>
              </w:rPr>
            </w:pPr>
          </w:p>
        </w:tc>
      </w:tr>
      <w:tr w14:paraId="5D079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ED6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52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B94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维修门机板</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4419E">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916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F5DA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1D0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ED7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C549F">
            <w:pPr>
              <w:rPr>
                <w:rFonts w:hint="eastAsia" w:ascii="宋体" w:hAnsi="宋体" w:eastAsia="宋体" w:cs="宋体"/>
                <w:i w:val="0"/>
                <w:iCs w:val="0"/>
                <w:color w:val="000000"/>
                <w:sz w:val="22"/>
                <w:szCs w:val="22"/>
                <w:u w:val="none"/>
              </w:rPr>
            </w:pPr>
          </w:p>
        </w:tc>
      </w:tr>
      <w:tr w14:paraId="08E38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4CD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53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616B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维修门机电脑板</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0463B">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0D6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A417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3E8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BA6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E4F9E">
            <w:pPr>
              <w:rPr>
                <w:rFonts w:hint="eastAsia" w:ascii="宋体" w:hAnsi="宋体" w:eastAsia="宋体" w:cs="宋体"/>
                <w:i w:val="0"/>
                <w:iCs w:val="0"/>
                <w:color w:val="000000"/>
                <w:sz w:val="22"/>
                <w:szCs w:val="22"/>
                <w:u w:val="none"/>
              </w:rPr>
            </w:pPr>
          </w:p>
        </w:tc>
      </w:tr>
      <w:tr w14:paraId="6D889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14B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54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AF6B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维修停电报警照明电源</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E3C11">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8EF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F18D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0A2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1C7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61113">
            <w:pPr>
              <w:rPr>
                <w:rFonts w:hint="eastAsia" w:ascii="宋体" w:hAnsi="宋体" w:eastAsia="宋体" w:cs="宋体"/>
                <w:i w:val="0"/>
                <w:iCs w:val="0"/>
                <w:color w:val="000000"/>
                <w:sz w:val="22"/>
                <w:szCs w:val="22"/>
                <w:u w:val="none"/>
              </w:rPr>
            </w:pPr>
          </w:p>
        </w:tc>
      </w:tr>
      <w:tr w14:paraId="37549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80A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55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469E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维修右边制动器</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F12CD">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217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036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35C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31C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A0396">
            <w:pPr>
              <w:rPr>
                <w:rFonts w:hint="eastAsia" w:ascii="宋体" w:hAnsi="宋体" w:eastAsia="宋体" w:cs="宋体"/>
                <w:i w:val="0"/>
                <w:iCs w:val="0"/>
                <w:color w:val="000000"/>
                <w:sz w:val="22"/>
                <w:szCs w:val="22"/>
                <w:u w:val="none"/>
              </w:rPr>
            </w:pPr>
          </w:p>
        </w:tc>
      </w:tr>
      <w:tr w14:paraId="62012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F88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56 </w:t>
            </w:r>
          </w:p>
        </w:tc>
        <w:tc>
          <w:tcPr>
            <w:tcW w:w="2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5A6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维修主板</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8C695">
            <w:pPr>
              <w:jc w:val="cente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13E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7FA3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C40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B2E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C0112">
            <w:pPr>
              <w:rPr>
                <w:rFonts w:hint="eastAsia" w:ascii="宋体" w:hAnsi="宋体" w:eastAsia="宋体" w:cs="宋体"/>
                <w:i w:val="0"/>
                <w:iCs w:val="0"/>
                <w:color w:val="000000"/>
                <w:sz w:val="22"/>
                <w:szCs w:val="22"/>
                <w:u w:val="none"/>
              </w:rPr>
            </w:pPr>
          </w:p>
        </w:tc>
      </w:tr>
      <w:tr w14:paraId="04A80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0F2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22BB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维修变频器</w:t>
            </w:r>
          </w:p>
        </w:tc>
        <w:tc>
          <w:tcPr>
            <w:tcW w:w="9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AC142">
            <w:pPr>
              <w:rPr>
                <w:rFonts w:hint="eastAsia" w:ascii="宋体" w:hAnsi="宋体" w:eastAsia="宋体" w:cs="宋体"/>
                <w:i w:val="0"/>
                <w:iCs w:val="0"/>
                <w:color w:val="000000"/>
                <w:sz w:val="22"/>
                <w:szCs w:val="22"/>
                <w:u w:val="none"/>
              </w:rPr>
            </w:pPr>
          </w:p>
        </w:tc>
        <w:tc>
          <w:tcPr>
            <w:tcW w:w="7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19D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18E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E1E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326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43627">
            <w:pPr>
              <w:rPr>
                <w:rFonts w:hint="eastAsia" w:ascii="宋体" w:hAnsi="宋体" w:eastAsia="宋体" w:cs="宋体"/>
                <w:i w:val="0"/>
                <w:iCs w:val="0"/>
                <w:color w:val="000000"/>
                <w:sz w:val="22"/>
                <w:szCs w:val="22"/>
                <w:u w:val="none"/>
              </w:rPr>
            </w:pPr>
          </w:p>
        </w:tc>
      </w:tr>
      <w:tr w14:paraId="18003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jc w:val="center"/>
        </w:trPr>
        <w:tc>
          <w:tcPr>
            <w:tcW w:w="0" w:type="auto"/>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DEF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A60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63E88">
            <w:pPr>
              <w:rPr>
                <w:rFonts w:hint="eastAsia" w:ascii="宋体" w:hAnsi="宋体" w:eastAsia="宋体" w:cs="宋体"/>
                <w:i w:val="0"/>
                <w:iCs w:val="0"/>
                <w:color w:val="000000"/>
                <w:sz w:val="22"/>
                <w:szCs w:val="22"/>
                <w:u w:val="none"/>
              </w:rPr>
            </w:pPr>
          </w:p>
        </w:tc>
      </w:tr>
    </w:tbl>
    <w:p w14:paraId="7923D357">
      <w:pPr>
        <w:widowControl/>
        <w:snapToGrid w:val="0"/>
        <w:spacing w:line="500" w:lineRule="exact"/>
        <w:rPr>
          <w:rFonts w:hint="eastAsia" w:ascii="黑体" w:hAnsi="黑体" w:eastAsia="黑体" w:cs="黑体"/>
          <w:color w:val="000000" w:themeColor="text1"/>
          <w:kern w:val="0"/>
          <w:sz w:val="28"/>
          <w:szCs w:val="28"/>
          <w:lang w:val="en-US" w:eastAsia="zh-CN"/>
          <w14:textFill>
            <w14:solidFill>
              <w14:schemeClr w14:val="tx1"/>
            </w14:solidFill>
          </w14:textFill>
        </w:rPr>
      </w:pPr>
    </w:p>
    <w:p w14:paraId="69EF5D30">
      <w:pPr>
        <w:widowControl/>
        <w:snapToGrid w:val="0"/>
        <w:spacing w:line="500" w:lineRule="exact"/>
        <w:rPr>
          <w:rFonts w:hint="default" w:ascii="宋体" w:hAnsi="宋体" w:cs="宋体"/>
          <w:color w:val="000000" w:themeColor="text1"/>
          <w:kern w:val="0"/>
          <w:szCs w:val="21"/>
          <w:lang w:val="en-US" w:eastAsia="zh-CN"/>
          <w14:textFill>
            <w14:solidFill>
              <w14:schemeClr w14:val="tx1"/>
            </w14:solidFill>
          </w14:textFill>
        </w:rPr>
      </w:pPr>
    </w:p>
    <w:sectPr>
      <w:pgSz w:w="11906" w:h="16838"/>
      <w:pgMar w:top="2154" w:right="1417" w:bottom="204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ED1580"/>
    <w:rsid w:val="0087167F"/>
    <w:rsid w:val="012F7DE1"/>
    <w:rsid w:val="022B4605"/>
    <w:rsid w:val="032C133D"/>
    <w:rsid w:val="039F467D"/>
    <w:rsid w:val="046F0741"/>
    <w:rsid w:val="04754611"/>
    <w:rsid w:val="04C11A36"/>
    <w:rsid w:val="051200B1"/>
    <w:rsid w:val="073A36D1"/>
    <w:rsid w:val="077225CA"/>
    <w:rsid w:val="08E14C87"/>
    <w:rsid w:val="0923288D"/>
    <w:rsid w:val="09595ECA"/>
    <w:rsid w:val="0C5302F4"/>
    <w:rsid w:val="0E4C3D34"/>
    <w:rsid w:val="126B7053"/>
    <w:rsid w:val="14AF7E3E"/>
    <w:rsid w:val="167D7A8F"/>
    <w:rsid w:val="16A768EE"/>
    <w:rsid w:val="16CA2879"/>
    <w:rsid w:val="18AC735C"/>
    <w:rsid w:val="194A79C2"/>
    <w:rsid w:val="19D460B4"/>
    <w:rsid w:val="1A39371C"/>
    <w:rsid w:val="1AE31FB1"/>
    <w:rsid w:val="1C1C4F1A"/>
    <w:rsid w:val="1C6F57FD"/>
    <w:rsid w:val="1CD23809"/>
    <w:rsid w:val="1D19379F"/>
    <w:rsid w:val="1DDA67DC"/>
    <w:rsid w:val="20F800D5"/>
    <w:rsid w:val="2165654C"/>
    <w:rsid w:val="217E2916"/>
    <w:rsid w:val="21BA2713"/>
    <w:rsid w:val="229E75EF"/>
    <w:rsid w:val="22C04851"/>
    <w:rsid w:val="23001437"/>
    <w:rsid w:val="2383244E"/>
    <w:rsid w:val="23C7290B"/>
    <w:rsid w:val="248A28F6"/>
    <w:rsid w:val="25AB6D16"/>
    <w:rsid w:val="26012649"/>
    <w:rsid w:val="29387837"/>
    <w:rsid w:val="294A30C6"/>
    <w:rsid w:val="29D0222B"/>
    <w:rsid w:val="2A0B0A59"/>
    <w:rsid w:val="2AD7341A"/>
    <w:rsid w:val="2BE12E4A"/>
    <w:rsid w:val="2D9F4411"/>
    <w:rsid w:val="2FAC4ADB"/>
    <w:rsid w:val="30CB71E3"/>
    <w:rsid w:val="31980F37"/>
    <w:rsid w:val="32771C24"/>
    <w:rsid w:val="32DF08CA"/>
    <w:rsid w:val="38042FDA"/>
    <w:rsid w:val="381A30F5"/>
    <w:rsid w:val="38BA597C"/>
    <w:rsid w:val="39040FCC"/>
    <w:rsid w:val="39A11954"/>
    <w:rsid w:val="39D168F7"/>
    <w:rsid w:val="3A197D7F"/>
    <w:rsid w:val="3A723E45"/>
    <w:rsid w:val="3C551654"/>
    <w:rsid w:val="3C7921E9"/>
    <w:rsid w:val="3E261EFC"/>
    <w:rsid w:val="3FFD6357"/>
    <w:rsid w:val="40512B35"/>
    <w:rsid w:val="406C6A1A"/>
    <w:rsid w:val="408676AE"/>
    <w:rsid w:val="40BF3346"/>
    <w:rsid w:val="41D4668F"/>
    <w:rsid w:val="43A01E09"/>
    <w:rsid w:val="46ED78E8"/>
    <w:rsid w:val="470D4579"/>
    <w:rsid w:val="47E30E5E"/>
    <w:rsid w:val="488A3050"/>
    <w:rsid w:val="48D12A65"/>
    <w:rsid w:val="4929464F"/>
    <w:rsid w:val="49F222FC"/>
    <w:rsid w:val="4A6D1F6A"/>
    <w:rsid w:val="4B86013F"/>
    <w:rsid w:val="4BE16314"/>
    <w:rsid w:val="4BF9042F"/>
    <w:rsid w:val="4C2757BD"/>
    <w:rsid w:val="4CBD57DA"/>
    <w:rsid w:val="4D61265D"/>
    <w:rsid w:val="4EA17C8F"/>
    <w:rsid w:val="4F74239C"/>
    <w:rsid w:val="4FA7451F"/>
    <w:rsid w:val="50C23D07"/>
    <w:rsid w:val="51844B18"/>
    <w:rsid w:val="52884ADC"/>
    <w:rsid w:val="5308373B"/>
    <w:rsid w:val="537A08C9"/>
    <w:rsid w:val="53E7163F"/>
    <w:rsid w:val="54A54ECD"/>
    <w:rsid w:val="56486A5C"/>
    <w:rsid w:val="56D57BC4"/>
    <w:rsid w:val="577011B2"/>
    <w:rsid w:val="58892D72"/>
    <w:rsid w:val="58A42861"/>
    <w:rsid w:val="5A006E37"/>
    <w:rsid w:val="5A7B23C7"/>
    <w:rsid w:val="5A8E07B6"/>
    <w:rsid w:val="5C3D0FC7"/>
    <w:rsid w:val="5CF728BA"/>
    <w:rsid w:val="5E211941"/>
    <w:rsid w:val="5EB50A07"/>
    <w:rsid w:val="5EC06CB8"/>
    <w:rsid w:val="5F166FCB"/>
    <w:rsid w:val="5FED1580"/>
    <w:rsid w:val="604A1598"/>
    <w:rsid w:val="61A87044"/>
    <w:rsid w:val="62092E18"/>
    <w:rsid w:val="62372EFA"/>
    <w:rsid w:val="630E06E5"/>
    <w:rsid w:val="64453824"/>
    <w:rsid w:val="65717652"/>
    <w:rsid w:val="66150632"/>
    <w:rsid w:val="6695034D"/>
    <w:rsid w:val="686422A5"/>
    <w:rsid w:val="68F6059A"/>
    <w:rsid w:val="692049A2"/>
    <w:rsid w:val="69EA37A4"/>
    <w:rsid w:val="6A061712"/>
    <w:rsid w:val="6A59721F"/>
    <w:rsid w:val="6A6460E9"/>
    <w:rsid w:val="6B5C69E0"/>
    <w:rsid w:val="6BF50D8B"/>
    <w:rsid w:val="6BFB5E69"/>
    <w:rsid w:val="6CEA7F79"/>
    <w:rsid w:val="6D653AB8"/>
    <w:rsid w:val="70F555D7"/>
    <w:rsid w:val="71066EA0"/>
    <w:rsid w:val="714158BE"/>
    <w:rsid w:val="731D7A00"/>
    <w:rsid w:val="73417B9C"/>
    <w:rsid w:val="73CD7126"/>
    <w:rsid w:val="73DA0835"/>
    <w:rsid w:val="74220923"/>
    <w:rsid w:val="74F11C15"/>
    <w:rsid w:val="75166F20"/>
    <w:rsid w:val="761B517A"/>
    <w:rsid w:val="76BB24DB"/>
    <w:rsid w:val="783267CC"/>
    <w:rsid w:val="78A034A0"/>
    <w:rsid w:val="790A599B"/>
    <w:rsid w:val="7A652E89"/>
    <w:rsid w:val="7B8E01BE"/>
    <w:rsid w:val="7DB83C18"/>
    <w:rsid w:val="7DF06F0E"/>
    <w:rsid w:val="7FE44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ind w:firstLine="570"/>
    </w:pPr>
    <w:rPr>
      <w:rFonts w:hint="eastAsia" w:ascii="宋体" w:hAnsi="宋体"/>
      <w:sz w:val="28"/>
      <w:szCs w:val="20"/>
    </w:rPr>
  </w:style>
  <w:style w:type="paragraph" w:styleId="4">
    <w:name w:val="Normal (Web)"/>
    <w:basedOn w:val="1"/>
    <w:qFormat/>
    <w:uiPriority w:val="0"/>
    <w:rPr>
      <w:sz w:val="24"/>
    </w:rPr>
  </w:style>
  <w:style w:type="paragraph" w:styleId="5">
    <w:name w:val="Body Text First Indent 2"/>
    <w:basedOn w:val="3"/>
    <w:qFormat/>
    <w:uiPriority w:val="0"/>
    <w:pPr>
      <w:ind w:firstLine="420" w:firstLineChars="200"/>
    </w:pPr>
  </w:style>
  <w:style w:type="table" w:styleId="7">
    <w:name w:val="Table Grid"/>
    <w:basedOn w:val="6"/>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qFormat/>
    <w:uiPriority w:val="0"/>
    <w:rPr>
      <w:rFonts w:hint="eastAsia" w:ascii="Calibri" w:hAnsi="Calibri" w:eastAsia="宋体" w:cs="Times New Roman"/>
      <w:lang w:val="en-US" w:eastAsia="zh-Hans"/>
    </w:rPr>
  </w:style>
  <w:style w:type="character" w:customStyle="1" w:styleId="10">
    <w:name w:val="font01"/>
    <w:basedOn w:val="8"/>
    <w:qFormat/>
    <w:uiPriority w:val="0"/>
    <w:rPr>
      <w:rFonts w:hint="eastAsia" w:ascii="宋体" w:hAnsi="宋体" w:eastAsia="宋体" w:cs="宋体"/>
      <w:color w:val="000000"/>
      <w:sz w:val="22"/>
      <w:szCs w:val="22"/>
      <w:u w:val="none"/>
    </w:rPr>
  </w:style>
  <w:style w:type="character" w:customStyle="1" w:styleId="11">
    <w:name w:val="font21"/>
    <w:basedOn w:val="8"/>
    <w:qFormat/>
    <w:uiPriority w:val="0"/>
    <w:rPr>
      <w:rFonts w:hint="default"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3910</Words>
  <Characters>4364</Characters>
  <Lines>0</Lines>
  <Paragraphs>0</Paragraphs>
  <TotalTime>15</TotalTime>
  <ScaleCrop>false</ScaleCrop>
  <LinksUpToDate>false</LinksUpToDate>
  <CharactersWithSpaces>4396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2024-12-16T09:10:00Z</dcterms:created>
  <dc:creator>白爺</dc:creator>
  <cp:lastModifiedBy>will</cp:lastModifiedBy>
  <dcterms:modified xsi:type="dcterms:W3CDTF">2025-09-28T01:34:50Z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DD11E74A6A8643B090249CF9B3A32DFB_13</vt:lpwstr>
  </property>
  <property fmtid="{D5CDD505-2E9C-101B-9397-08002B2CF9AE}" pid="4" name="KSOTemplateDocerSaveRecord">
    <vt:lpwstr>eyJoZGlkIjoiZWQ4ZDA4MjQ3Nzg3OWU3YWE0NTU5YTJmNDYxZGZhNGIiLCJ1c2VySWQiOiIzMTI5NTAwMCJ9</vt:lpwstr>
  </property>
</Properties>
</file>