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2E1A35">
      <w:pPr>
        <w:pStyle w:val="6"/>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b/>
          <w:bCs w:val="0"/>
          <w:color w:val="000000"/>
          <w:kern w:val="0"/>
          <w:sz w:val="44"/>
          <w:szCs w:val="44"/>
          <w:highlight w:val="none"/>
          <w:lang w:val="en-US" w:eastAsia="zh-CN"/>
        </w:rPr>
      </w:pPr>
      <w:bookmarkStart w:id="0" w:name="_Toc498587855"/>
      <w:bookmarkStart w:id="1" w:name="_Toc30635"/>
      <w:bookmarkStart w:id="2" w:name="_Toc498587854"/>
      <w:r>
        <w:rPr>
          <w:rFonts w:hint="eastAsia" w:ascii="仿宋" w:hAnsi="仿宋" w:eastAsia="仿宋" w:cs="仿宋"/>
          <w:b/>
          <w:bCs w:val="0"/>
          <w:color w:val="000000"/>
          <w:kern w:val="0"/>
          <w:sz w:val="44"/>
          <w:szCs w:val="44"/>
          <w:highlight w:val="none"/>
          <w:lang w:val="en-US" w:eastAsia="zh-CN"/>
        </w:rPr>
        <w:t>广州市增城区中医医院2026年骨伤科监护仪与治疗推车购置项目</w:t>
      </w:r>
      <w:bookmarkEnd w:id="0"/>
      <w:bookmarkEnd w:id="1"/>
      <w:bookmarkEnd w:id="2"/>
      <w:r>
        <w:rPr>
          <w:rFonts w:hint="eastAsia" w:ascii="仿宋" w:hAnsi="仿宋" w:eastAsia="仿宋" w:cs="仿宋"/>
          <w:b/>
          <w:bCs w:val="0"/>
          <w:color w:val="000000"/>
          <w:kern w:val="0"/>
          <w:sz w:val="44"/>
          <w:szCs w:val="44"/>
          <w:highlight w:val="none"/>
          <w:lang w:val="en-US" w:eastAsia="zh-CN"/>
        </w:rPr>
        <w:t>需求文件</w:t>
      </w:r>
    </w:p>
    <w:p w14:paraId="34AD2AFA">
      <w:pPr>
        <w:pStyle w:val="6"/>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val="0"/>
          <w:color w:val="000000"/>
          <w:kern w:val="0"/>
          <w:sz w:val="44"/>
          <w:szCs w:val="44"/>
          <w:highlight w:val="none"/>
          <w:lang w:val="en-US" w:eastAsia="zh-CN"/>
        </w:rPr>
      </w:pPr>
    </w:p>
    <w:p w14:paraId="24EFCD62">
      <w:pPr>
        <w:keepNext w:val="0"/>
        <w:keepLines w:val="0"/>
        <w:pageBreakBefore w:val="0"/>
        <w:widowControl/>
        <w:tabs>
          <w:tab w:val="left" w:pos="180"/>
        </w:tabs>
        <w:kinsoku/>
        <w:wordWrap/>
        <w:overflowPunct/>
        <w:topLinePunct w:val="0"/>
        <w:autoSpaceDE/>
        <w:autoSpaceDN/>
        <w:bidi w:val="0"/>
        <w:adjustRightInd/>
        <w:snapToGrid/>
        <w:spacing w:line="560" w:lineRule="exact"/>
        <w:ind w:firstLine="643" w:firstLineChars="200"/>
        <w:jc w:val="left"/>
        <w:textAlignment w:val="auto"/>
        <w:rPr>
          <w:rFonts w:hint="eastAsia" w:ascii="仿宋" w:hAnsi="仿宋" w:eastAsia="仿宋" w:cs="仿宋"/>
          <w:b w:val="0"/>
          <w:bCs w:val="0"/>
          <w:color w:val="000000"/>
          <w:kern w:val="2"/>
          <w:sz w:val="32"/>
          <w:szCs w:val="32"/>
          <w:highlight w:val="none"/>
          <w:lang w:val="en-US" w:eastAsia="zh-CN"/>
        </w:rPr>
      </w:pPr>
      <w:bookmarkStart w:id="4" w:name="_GoBack"/>
      <w:r>
        <w:rPr>
          <w:rFonts w:hint="eastAsia" w:ascii="仿宋" w:hAnsi="仿宋" w:eastAsia="仿宋" w:cs="仿宋"/>
          <w:b/>
          <w:bCs/>
          <w:color w:val="auto"/>
          <w:sz w:val="32"/>
          <w:szCs w:val="32"/>
          <w:highlight w:val="none"/>
          <w:lang w:val="en-US" w:eastAsia="zh-CN"/>
        </w:rPr>
        <w:t>一、项目整体概况及要求</w:t>
      </w:r>
    </w:p>
    <w:p w14:paraId="40EDD3D0">
      <w:pPr>
        <w:keepNext w:val="0"/>
        <w:keepLines w:val="0"/>
        <w:pageBreakBefore w:val="0"/>
        <w:widowControl/>
        <w:tabs>
          <w:tab w:val="left" w:pos="180"/>
        </w:tabs>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1.项目名称：广州市增城区中医医院2026年骨伤科监护仪与治疗推车购置项目</w:t>
      </w:r>
    </w:p>
    <w:p w14:paraId="332622B3">
      <w:pPr>
        <w:keepNext w:val="0"/>
        <w:keepLines w:val="0"/>
        <w:pageBreakBefore w:val="0"/>
        <w:widowControl/>
        <w:tabs>
          <w:tab w:val="left" w:pos="180"/>
        </w:tabs>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2.最高限价：48000元。</w:t>
      </w:r>
    </w:p>
    <w:p w14:paraId="293C326E">
      <w:pPr>
        <w:keepNext w:val="0"/>
        <w:keepLines w:val="0"/>
        <w:pageBreakBefore w:val="0"/>
        <w:widowControl/>
        <w:tabs>
          <w:tab w:val="left" w:pos="180"/>
        </w:tabs>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3.服务期限：自合同签订之日起十五个工作日内送货。</w:t>
      </w:r>
    </w:p>
    <w:p w14:paraId="6ABD2270">
      <w:pPr>
        <w:keepNext w:val="0"/>
        <w:keepLines w:val="0"/>
        <w:pageBreakBefore w:val="0"/>
        <w:widowControl/>
        <w:tabs>
          <w:tab w:val="left" w:pos="180"/>
        </w:tabs>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highlight w:val="none"/>
        </w:rPr>
      </w:pPr>
      <w:r>
        <w:rPr>
          <w:rFonts w:hint="eastAsia" w:ascii="仿宋" w:hAnsi="仿宋" w:eastAsia="仿宋" w:cs="仿宋"/>
          <w:color w:val="auto"/>
          <w:sz w:val="32"/>
          <w:szCs w:val="32"/>
          <w:highlight w:val="none"/>
          <w:lang w:val="en-US" w:eastAsia="zh-CN"/>
        </w:rPr>
        <w:t>4、验收标准：</w:t>
      </w:r>
      <w:r>
        <w:rPr>
          <w:rFonts w:hint="eastAsia" w:ascii="仿宋" w:hAnsi="仿宋" w:eastAsia="仿宋" w:cs="仿宋"/>
          <w:sz w:val="32"/>
          <w:szCs w:val="32"/>
          <w:highlight w:val="none"/>
          <w:lang w:val="en-US" w:eastAsia="zh-CN"/>
        </w:rPr>
        <w:t>提供的医疗设备，必须符合相关的国家、行业或企业标准的合格产品，必须符合实际标准，不得是虚标。</w:t>
      </w:r>
      <w:r>
        <w:rPr>
          <w:rFonts w:hint="eastAsia" w:ascii="仿宋" w:hAnsi="仿宋" w:eastAsia="仿宋" w:cs="仿宋"/>
          <w:sz w:val="32"/>
          <w:szCs w:val="32"/>
          <w:highlight w:val="none"/>
        </w:rPr>
        <w:t>乙方保证合同</w:t>
      </w:r>
      <w:r>
        <w:rPr>
          <w:rFonts w:hint="eastAsia" w:ascii="仿宋" w:hAnsi="仿宋" w:eastAsia="仿宋" w:cs="仿宋"/>
          <w:sz w:val="32"/>
          <w:szCs w:val="32"/>
          <w:highlight w:val="none"/>
          <w:lang w:val="en-US" w:eastAsia="zh-CN"/>
        </w:rPr>
        <w:t>医疗设备</w:t>
      </w:r>
      <w:r>
        <w:rPr>
          <w:rFonts w:hint="eastAsia" w:ascii="仿宋" w:hAnsi="仿宋" w:eastAsia="仿宋" w:cs="仿宋"/>
          <w:sz w:val="32"/>
          <w:szCs w:val="32"/>
          <w:highlight w:val="none"/>
        </w:rPr>
        <w:t>是全新、</w:t>
      </w:r>
      <w:r>
        <w:rPr>
          <w:rFonts w:hint="eastAsia" w:ascii="仿宋" w:hAnsi="仿宋" w:eastAsia="仿宋" w:cs="仿宋"/>
          <w:sz w:val="32"/>
          <w:szCs w:val="32"/>
          <w:highlight w:val="none"/>
          <w:lang w:val="en-US" w:eastAsia="zh-CN"/>
        </w:rPr>
        <w:t>完整、</w:t>
      </w:r>
      <w:r>
        <w:rPr>
          <w:rFonts w:hint="eastAsia" w:ascii="仿宋" w:hAnsi="仿宋" w:eastAsia="仿宋" w:cs="仿宋"/>
          <w:sz w:val="32"/>
          <w:szCs w:val="32"/>
          <w:highlight w:val="none"/>
        </w:rPr>
        <w:t>未曾使用过的，并达到有效使用之目的。</w:t>
      </w:r>
    </w:p>
    <w:p w14:paraId="0CAD6E9A">
      <w:pPr>
        <w:keepNext w:val="0"/>
        <w:keepLines w:val="0"/>
        <w:pageBreakBefore w:val="0"/>
        <w:widowControl/>
        <w:tabs>
          <w:tab w:val="left" w:pos="180"/>
        </w:tabs>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5、成交人中标</w:t>
      </w:r>
      <w:r>
        <w:rPr>
          <w:rFonts w:hint="eastAsia" w:ascii="仿宋" w:hAnsi="仿宋" w:eastAsia="仿宋" w:cs="仿宋"/>
          <w:sz w:val="32"/>
          <w:szCs w:val="32"/>
          <w:highlight w:val="none"/>
        </w:rPr>
        <w:t>设备运输</w:t>
      </w:r>
      <w:r>
        <w:rPr>
          <w:rFonts w:hint="eastAsia" w:ascii="仿宋" w:hAnsi="仿宋" w:eastAsia="仿宋" w:cs="仿宋"/>
          <w:sz w:val="32"/>
          <w:szCs w:val="32"/>
          <w:highlight w:val="none"/>
          <w:lang w:val="en-US" w:eastAsia="zh-CN"/>
        </w:rPr>
        <w:t>过程</w:t>
      </w:r>
      <w:r>
        <w:rPr>
          <w:rFonts w:hint="eastAsia" w:ascii="仿宋" w:hAnsi="仿宋" w:eastAsia="仿宋" w:cs="仿宋"/>
          <w:sz w:val="32"/>
          <w:szCs w:val="32"/>
          <w:highlight w:val="none"/>
        </w:rPr>
        <w:t>中因事故造成货物短缺、损坏，</w:t>
      </w:r>
      <w:r>
        <w:rPr>
          <w:rFonts w:hint="eastAsia" w:ascii="仿宋" w:hAnsi="仿宋" w:eastAsia="仿宋" w:cs="仿宋"/>
          <w:sz w:val="32"/>
          <w:szCs w:val="32"/>
          <w:highlight w:val="none"/>
          <w:lang w:val="en-US" w:eastAsia="zh-CN"/>
        </w:rPr>
        <w:t>成交人</w:t>
      </w:r>
      <w:r>
        <w:rPr>
          <w:rFonts w:hint="eastAsia" w:ascii="仿宋" w:hAnsi="仿宋" w:eastAsia="仿宋" w:cs="仿宋"/>
          <w:sz w:val="32"/>
          <w:szCs w:val="32"/>
          <w:highlight w:val="none"/>
        </w:rPr>
        <w:t>应及时安排换</w:t>
      </w:r>
      <w:r>
        <w:rPr>
          <w:rFonts w:hint="eastAsia" w:ascii="仿宋" w:hAnsi="仿宋" w:eastAsia="仿宋" w:cs="仿宋"/>
          <w:sz w:val="32"/>
          <w:szCs w:val="32"/>
          <w:highlight w:val="none"/>
          <w:lang w:eastAsia="zh-CN"/>
        </w:rPr>
        <w:t>货</w:t>
      </w:r>
      <w:r>
        <w:rPr>
          <w:rFonts w:hint="eastAsia" w:ascii="仿宋" w:hAnsi="仿宋" w:eastAsia="仿宋" w:cs="仿宋"/>
          <w:sz w:val="32"/>
          <w:szCs w:val="32"/>
          <w:highlight w:val="none"/>
        </w:rPr>
        <w:t>，换货的相关费用由</w:t>
      </w:r>
      <w:r>
        <w:rPr>
          <w:rFonts w:hint="eastAsia" w:ascii="仿宋" w:hAnsi="仿宋" w:eastAsia="仿宋" w:cs="仿宋"/>
          <w:sz w:val="32"/>
          <w:szCs w:val="32"/>
          <w:highlight w:val="none"/>
          <w:lang w:val="en-US" w:eastAsia="zh-CN"/>
        </w:rPr>
        <w:t>成交人</w:t>
      </w:r>
      <w:r>
        <w:rPr>
          <w:rFonts w:hint="eastAsia" w:ascii="仿宋" w:hAnsi="仿宋" w:eastAsia="仿宋" w:cs="仿宋"/>
          <w:sz w:val="32"/>
          <w:szCs w:val="32"/>
          <w:highlight w:val="none"/>
        </w:rPr>
        <w:t>承担。如</w:t>
      </w:r>
      <w:r>
        <w:rPr>
          <w:rFonts w:hint="eastAsia" w:ascii="仿宋" w:hAnsi="仿宋" w:eastAsia="仿宋" w:cs="仿宋"/>
          <w:sz w:val="32"/>
          <w:szCs w:val="32"/>
          <w:highlight w:val="none"/>
          <w:lang w:val="en-US" w:eastAsia="zh-CN"/>
        </w:rPr>
        <w:t>成交人</w:t>
      </w:r>
      <w:r>
        <w:rPr>
          <w:rFonts w:hint="eastAsia" w:ascii="仿宋" w:hAnsi="仿宋" w:eastAsia="仿宋" w:cs="仿宋"/>
          <w:sz w:val="32"/>
          <w:szCs w:val="32"/>
          <w:highlight w:val="none"/>
        </w:rPr>
        <w:t>提供的设备不符合要求，</w:t>
      </w:r>
      <w:r>
        <w:rPr>
          <w:rFonts w:hint="eastAsia" w:ascii="仿宋" w:hAnsi="仿宋" w:eastAsia="仿宋" w:cs="仿宋"/>
          <w:sz w:val="32"/>
          <w:szCs w:val="32"/>
          <w:highlight w:val="none"/>
          <w:lang w:eastAsia="zh-CN"/>
        </w:rPr>
        <w:t>院方</w:t>
      </w:r>
      <w:r>
        <w:rPr>
          <w:rFonts w:hint="eastAsia" w:ascii="仿宋" w:hAnsi="仿宋" w:eastAsia="仿宋" w:cs="仿宋"/>
          <w:sz w:val="32"/>
          <w:szCs w:val="32"/>
          <w:highlight w:val="none"/>
        </w:rPr>
        <w:t>有权拒收。</w:t>
      </w:r>
    </w:p>
    <w:p w14:paraId="78018916">
      <w:pPr>
        <w:keepNext w:val="0"/>
        <w:keepLines w:val="0"/>
        <w:pageBreakBefore w:val="0"/>
        <w:widowControl/>
        <w:tabs>
          <w:tab w:val="left" w:pos="180"/>
        </w:tabs>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6、付款时间：验收合格后三个月内付全款。</w:t>
      </w:r>
    </w:p>
    <w:p w14:paraId="0B1DDDEB">
      <w:pPr>
        <w:pStyle w:val="3"/>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7、质保期：设备保质保用期一年</w:t>
      </w:r>
    </w:p>
    <w:p w14:paraId="6CCF012F">
      <w:pPr>
        <w:pStyle w:val="3"/>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保质保用期内非因</w:t>
      </w:r>
      <w:r>
        <w:rPr>
          <w:rFonts w:hint="eastAsia" w:ascii="仿宋" w:hAnsi="仿宋" w:eastAsia="仿宋" w:cs="仿宋"/>
          <w:sz w:val="32"/>
          <w:szCs w:val="32"/>
          <w:highlight w:val="none"/>
          <w:lang w:eastAsia="zh-CN"/>
        </w:rPr>
        <w:t>院方</w:t>
      </w:r>
      <w:r>
        <w:rPr>
          <w:rFonts w:hint="eastAsia" w:ascii="仿宋" w:hAnsi="仿宋" w:eastAsia="仿宋" w:cs="仿宋"/>
          <w:sz w:val="32"/>
          <w:szCs w:val="32"/>
          <w:highlight w:val="none"/>
        </w:rPr>
        <w:t>的人为原因而出现产品质量及安装问题，由</w:t>
      </w:r>
      <w:r>
        <w:rPr>
          <w:rFonts w:hint="eastAsia" w:ascii="仿宋" w:hAnsi="仿宋" w:eastAsia="仿宋" w:cs="仿宋"/>
          <w:sz w:val="32"/>
          <w:szCs w:val="32"/>
          <w:highlight w:val="none"/>
          <w:lang w:val="en-US" w:eastAsia="zh-CN"/>
        </w:rPr>
        <w:t>成交人</w:t>
      </w:r>
      <w:r>
        <w:rPr>
          <w:rFonts w:hint="eastAsia" w:ascii="仿宋" w:hAnsi="仿宋" w:eastAsia="仿宋" w:cs="仿宋"/>
          <w:sz w:val="32"/>
          <w:szCs w:val="32"/>
          <w:highlight w:val="none"/>
        </w:rPr>
        <w:t>负责包修、包换或包退。</w:t>
      </w:r>
    </w:p>
    <w:p w14:paraId="0B5F18C5">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rPr>
      </w:pPr>
      <w:r>
        <w:rPr>
          <w:rFonts w:hint="eastAsia" w:ascii="仿宋" w:hAnsi="仿宋" w:eastAsia="仿宋" w:cs="仿宋"/>
          <w:kern w:val="2"/>
          <w:sz w:val="32"/>
          <w:szCs w:val="32"/>
          <w:lang w:val="en-US" w:eastAsia="zh-CN" w:bidi="ar-SA"/>
        </w:rPr>
        <w:t>8、</w:t>
      </w:r>
      <w:r>
        <w:rPr>
          <w:rFonts w:hint="eastAsia" w:ascii="仿宋" w:hAnsi="仿宋" w:eastAsia="仿宋" w:cs="仿宋"/>
          <w:sz w:val="32"/>
          <w:szCs w:val="32"/>
          <w:highlight w:val="none"/>
          <w:lang w:val="en-US" w:eastAsia="zh-CN"/>
        </w:rPr>
        <w:t>资金来源：财政资金</w:t>
      </w:r>
    </w:p>
    <w:p w14:paraId="40305B5A">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kern w:val="2"/>
          <w:sz w:val="32"/>
          <w:szCs w:val="32"/>
          <w:lang w:val="en-US" w:eastAsia="zh-CN" w:bidi="ar-SA"/>
        </w:rPr>
        <w:t>9、</w:t>
      </w:r>
      <w:r>
        <w:rPr>
          <w:rFonts w:hint="eastAsia" w:ascii="仿宋" w:hAnsi="仿宋" w:eastAsia="仿宋" w:cs="仿宋"/>
          <w:sz w:val="32"/>
          <w:szCs w:val="32"/>
          <w:highlight w:val="none"/>
          <w:lang w:val="en-US" w:eastAsia="zh-CN"/>
        </w:rPr>
        <w:t>采购方式：比价</w:t>
      </w:r>
    </w:p>
    <w:p w14:paraId="6932C268">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kern w:val="2"/>
          <w:sz w:val="32"/>
          <w:szCs w:val="32"/>
          <w:lang w:val="en-US" w:eastAsia="zh-CN" w:bidi="ar-SA"/>
        </w:rPr>
        <w:t>10、</w:t>
      </w:r>
      <w:r>
        <w:rPr>
          <w:rFonts w:hint="eastAsia" w:ascii="仿宋" w:hAnsi="仿宋" w:eastAsia="仿宋" w:cs="仿宋"/>
          <w:sz w:val="32"/>
          <w:szCs w:val="32"/>
          <w:highlight w:val="none"/>
          <w:lang w:val="en-US" w:eastAsia="zh-CN"/>
        </w:rPr>
        <w:t>投标人需要提供设备厂家参数数据以供评审</w:t>
      </w:r>
      <w:bookmarkEnd w:id="4"/>
      <w:r>
        <w:rPr>
          <w:rFonts w:hint="eastAsia" w:ascii="仿宋" w:hAnsi="仿宋" w:eastAsia="仿宋" w:cs="仿宋"/>
          <w:sz w:val="32"/>
          <w:szCs w:val="32"/>
          <w:highlight w:val="none"/>
          <w:lang w:val="en-US" w:eastAsia="zh-CN"/>
        </w:rPr>
        <w:t>参考。</w:t>
      </w:r>
    </w:p>
    <w:p w14:paraId="5A42D8AD">
      <w:pPr>
        <w:keepNext w:val="0"/>
        <w:keepLines w:val="0"/>
        <w:pageBreakBefore w:val="0"/>
        <w:widowControl/>
        <w:tabs>
          <w:tab w:val="left" w:pos="180"/>
        </w:tabs>
        <w:kinsoku/>
        <w:wordWrap/>
        <w:overflowPunct/>
        <w:topLinePunct w:val="0"/>
        <w:autoSpaceDE/>
        <w:autoSpaceDN/>
        <w:bidi w:val="0"/>
        <w:adjustRightInd/>
        <w:snapToGrid/>
        <w:spacing w:line="560" w:lineRule="exact"/>
        <w:ind w:firstLine="643" w:firstLineChars="200"/>
        <w:jc w:val="left"/>
        <w:textAlignment w:val="auto"/>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二、供应商资格</w:t>
      </w:r>
    </w:p>
    <w:p w14:paraId="4367ACBA">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zh-CN" w:eastAsia="zh-CN"/>
        </w:rPr>
      </w:pPr>
      <w:bookmarkStart w:id="3" w:name="_Hlk89068002"/>
      <w:r>
        <w:rPr>
          <w:rFonts w:hint="eastAsia" w:ascii="仿宋" w:hAnsi="仿宋" w:eastAsia="仿宋" w:cs="仿宋"/>
          <w:sz w:val="32"/>
          <w:szCs w:val="32"/>
          <w:highlight w:val="none"/>
          <w:lang w:val="zh-CN" w:eastAsia="zh-CN"/>
        </w:rPr>
        <w:t>1、供应商必须是中华人民共和国境内注册的具有独立承担民事责任能力的法人或其他组织，并依法取得营业执照；</w:t>
      </w:r>
    </w:p>
    <w:p w14:paraId="36B450C3">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zh-CN" w:eastAsia="zh-CN"/>
        </w:rPr>
      </w:pPr>
      <w:r>
        <w:rPr>
          <w:rFonts w:hint="eastAsia" w:ascii="仿宋" w:hAnsi="仿宋" w:eastAsia="仿宋" w:cs="仿宋"/>
          <w:sz w:val="32"/>
          <w:szCs w:val="32"/>
          <w:highlight w:val="none"/>
          <w:lang w:val="zh-CN" w:eastAsia="zh-CN"/>
        </w:rPr>
        <w:t>2、单位负责人为同一人或者存在控股、管理关系的不同单位，不得参加同一项目包报价(供应商出具声明函)；</w:t>
      </w:r>
    </w:p>
    <w:p w14:paraId="799E1AEA">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zh-CN" w:eastAsia="zh-CN"/>
        </w:rPr>
      </w:pPr>
      <w:r>
        <w:rPr>
          <w:rFonts w:hint="eastAsia" w:ascii="仿宋" w:hAnsi="仿宋" w:eastAsia="仿宋" w:cs="仿宋"/>
          <w:sz w:val="32"/>
          <w:szCs w:val="32"/>
          <w:highlight w:val="none"/>
          <w:lang w:val="zh-CN" w:eastAsia="zh-CN"/>
        </w:rPr>
        <w:t>3、未被列入“信用中国”网站(www.creditchina.gov.cn)中“记录失信被执行人或重大税收违法案件当事人名单或政府采购严重违法失信行为”的记录名单；</w:t>
      </w:r>
    </w:p>
    <w:p w14:paraId="44BC09AD">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zh-CN" w:eastAsia="zh-CN"/>
        </w:rPr>
      </w:pPr>
      <w:r>
        <w:rPr>
          <w:rFonts w:hint="eastAsia" w:ascii="仿宋" w:hAnsi="仿宋" w:eastAsia="仿宋" w:cs="仿宋"/>
          <w:sz w:val="32"/>
          <w:szCs w:val="32"/>
          <w:highlight w:val="none"/>
          <w:lang w:val="zh-CN" w:eastAsia="zh-CN"/>
        </w:rPr>
        <w:t>4、具有履行合同所必需的设备和专业技术能力；</w:t>
      </w:r>
    </w:p>
    <w:p w14:paraId="4BDE991D">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zh-CN" w:eastAsia="zh-CN"/>
        </w:rPr>
      </w:pPr>
      <w:r>
        <w:rPr>
          <w:rFonts w:hint="eastAsia" w:ascii="仿宋" w:hAnsi="仿宋" w:eastAsia="仿宋" w:cs="仿宋"/>
          <w:sz w:val="32"/>
          <w:szCs w:val="32"/>
          <w:highlight w:val="none"/>
          <w:lang w:val="zh-CN" w:eastAsia="zh-CN"/>
        </w:rPr>
        <w:t>5、供应商只允许为独立法人或其它组织，本项目不接受联合体报价。</w:t>
      </w:r>
      <w:bookmarkEnd w:id="3"/>
    </w:p>
    <w:p w14:paraId="528633AE">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6、具有相适应且有效的《医疗器械生产许可证》或者《医疗器械经营许可证》或《二类医疗器械经营备案登记表》（若投标人所投产品纳入医疗器械管理），所投设备具有医疗器械注册证或备案证（适用于纳入医疗器械管理的设备）。</w:t>
      </w:r>
    </w:p>
    <w:p w14:paraId="5A60566B">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p>
    <w:p w14:paraId="73C10E1D">
      <w:pPr>
        <w:keepNext w:val="0"/>
        <w:keepLines w:val="0"/>
        <w:pageBreakBefore w:val="0"/>
        <w:widowControl/>
        <w:numPr>
          <w:ilvl w:val="0"/>
          <w:numId w:val="0"/>
        </w:numPr>
        <w:kinsoku/>
        <w:wordWrap/>
        <w:overflowPunct/>
        <w:topLinePunct w:val="0"/>
        <w:autoSpaceDE/>
        <w:autoSpaceDN/>
        <w:bidi w:val="0"/>
        <w:adjustRightInd/>
        <w:spacing w:line="560" w:lineRule="exact"/>
        <w:jc w:val="left"/>
        <w:textAlignment w:val="auto"/>
        <w:rPr>
          <w:rFonts w:hint="eastAsia" w:ascii="仿宋" w:hAnsi="仿宋" w:eastAsia="仿宋" w:cs="仿宋"/>
          <w:b w:val="0"/>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 xml:space="preserve">四、项目内容及要求（参数要求必须都达标，否则将废除投标资格）      </w:t>
      </w:r>
      <w:r>
        <w:rPr>
          <w:rFonts w:hint="eastAsia" w:ascii="仿宋" w:hAnsi="仿宋" w:eastAsia="仿宋" w:cs="仿宋"/>
          <w:b w:val="0"/>
          <w:color w:val="auto"/>
          <w:sz w:val="32"/>
          <w:szCs w:val="32"/>
          <w:highlight w:val="none"/>
          <w:lang w:val="en-US" w:eastAsia="zh-CN"/>
        </w:rPr>
        <w:t xml:space="preserve">                               </w:t>
      </w:r>
    </w:p>
    <w:p w14:paraId="729D3FA6">
      <w:pPr>
        <w:keepNext w:val="0"/>
        <w:keepLines w:val="0"/>
        <w:pageBreakBefore w:val="0"/>
        <w:widowControl/>
        <w:numPr>
          <w:ilvl w:val="0"/>
          <w:numId w:val="0"/>
        </w:numPr>
        <w:kinsoku/>
        <w:wordWrap/>
        <w:overflowPunct/>
        <w:topLinePunct w:val="0"/>
        <w:autoSpaceDE/>
        <w:autoSpaceDN/>
        <w:bidi w:val="0"/>
        <w:adjustRightInd/>
        <w:spacing w:line="560" w:lineRule="exact"/>
        <w:ind w:firstLine="320" w:firstLineChars="100"/>
        <w:jc w:val="right"/>
        <w:textAlignment w:val="auto"/>
        <w:rPr>
          <w:rFonts w:hint="eastAsia" w:ascii="仿宋" w:hAnsi="仿宋" w:eastAsia="仿宋" w:cs="仿宋"/>
          <w:b w:val="0"/>
          <w:color w:val="auto"/>
          <w:sz w:val="32"/>
          <w:szCs w:val="32"/>
          <w:highlight w:val="none"/>
          <w:lang w:val="en-US" w:eastAsia="zh-CN"/>
        </w:rPr>
      </w:pPr>
      <w:r>
        <w:rPr>
          <w:rFonts w:hint="eastAsia" w:ascii="仿宋" w:hAnsi="仿宋" w:eastAsia="仿宋" w:cs="仿宋"/>
          <w:b w:val="0"/>
          <w:color w:val="auto"/>
          <w:sz w:val="32"/>
          <w:szCs w:val="32"/>
          <w:highlight w:val="none"/>
          <w:lang w:val="en-US" w:eastAsia="zh-CN"/>
        </w:rPr>
        <w:t>价格：元</w:t>
      </w:r>
    </w:p>
    <w:tbl>
      <w:tblPr>
        <w:tblStyle w:val="4"/>
        <w:tblW w:w="11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46"/>
        <w:gridCol w:w="3346"/>
        <w:gridCol w:w="1745"/>
        <w:gridCol w:w="4"/>
        <w:gridCol w:w="1333"/>
        <w:gridCol w:w="1813"/>
      </w:tblGrid>
      <w:tr w14:paraId="3632E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blHeader/>
          <w:jc w:val="center"/>
        </w:trPr>
        <w:tc>
          <w:tcPr>
            <w:tcW w:w="2946" w:type="dxa"/>
            <w:tcBorders>
              <w:bottom w:val="single" w:color="auto" w:sz="4" w:space="0"/>
            </w:tcBorders>
            <w:noWrap w:val="0"/>
            <w:vAlign w:val="center"/>
          </w:tcPr>
          <w:p w14:paraId="31CC6AFD">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rPr>
                <w:rFonts w:hint="eastAsia" w:ascii="仿宋" w:hAnsi="仿宋" w:eastAsia="仿宋" w:cs="仿宋"/>
                <w:b/>
                <w:sz w:val="32"/>
                <w:szCs w:val="32"/>
                <w:highlight w:val="none"/>
                <w:lang w:eastAsia="zh-CN"/>
              </w:rPr>
            </w:pPr>
            <w:r>
              <w:rPr>
                <w:rFonts w:hint="eastAsia" w:ascii="仿宋" w:hAnsi="仿宋" w:eastAsia="仿宋" w:cs="仿宋"/>
                <w:b/>
                <w:sz w:val="32"/>
                <w:szCs w:val="32"/>
                <w:highlight w:val="none"/>
                <w:lang w:eastAsia="zh-CN"/>
              </w:rPr>
              <w:t>采购品目及编码</w:t>
            </w:r>
          </w:p>
        </w:tc>
        <w:tc>
          <w:tcPr>
            <w:tcW w:w="3346" w:type="dxa"/>
            <w:tcBorders>
              <w:bottom w:val="single" w:color="auto" w:sz="4" w:space="0"/>
            </w:tcBorders>
            <w:noWrap w:val="0"/>
            <w:vAlign w:val="center"/>
          </w:tcPr>
          <w:p w14:paraId="1BE3F324">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货物名称</w:t>
            </w:r>
          </w:p>
        </w:tc>
        <w:tc>
          <w:tcPr>
            <w:tcW w:w="1745" w:type="dxa"/>
            <w:tcBorders>
              <w:bottom w:val="single" w:color="auto" w:sz="4" w:space="0"/>
            </w:tcBorders>
            <w:noWrap w:val="0"/>
            <w:vAlign w:val="center"/>
          </w:tcPr>
          <w:p w14:paraId="3D188436">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数量</w:t>
            </w:r>
          </w:p>
        </w:tc>
        <w:tc>
          <w:tcPr>
            <w:tcW w:w="1337" w:type="dxa"/>
            <w:gridSpan w:val="2"/>
            <w:tcBorders>
              <w:bottom w:val="single" w:color="auto" w:sz="4" w:space="0"/>
            </w:tcBorders>
            <w:noWrap w:val="0"/>
            <w:vAlign w:val="center"/>
          </w:tcPr>
          <w:p w14:paraId="3954B862">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rPr>
                <w:rFonts w:hint="eastAsia" w:ascii="仿宋" w:hAnsi="仿宋" w:eastAsia="仿宋" w:cs="仿宋"/>
                <w:b/>
                <w:sz w:val="32"/>
                <w:szCs w:val="32"/>
                <w:highlight w:val="none"/>
                <w:lang w:val="en-US" w:eastAsia="zh-CN"/>
              </w:rPr>
            </w:pPr>
            <w:r>
              <w:rPr>
                <w:rFonts w:hint="eastAsia" w:ascii="仿宋" w:hAnsi="仿宋" w:eastAsia="仿宋" w:cs="仿宋"/>
                <w:b/>
                <w:sz w:val="32"/>
                <w:szCs w:val="32"/>
                <w:highlight w:val="none"/>
                <w:lang w:val="en-US" w:eastAsia="zh-CN"/>
              </w:rPr>
              <w:t>最高单价</w:t>
            </w:r>
          </w:p>
        </w:tc>
        <w:tc>
          <w:tcPr>
            <w:tcW w:w="1813" w:type="dxa"/>
            <w:tcBorders>
              <w:bottom w:val="single" w:color="auto" w:sz="4" w:space="0"/>
            </w:tcBorders>
            <w:noWrap w:val="0"/>
            <w:vAlign w:val="center"/>
          </w:tcPr>
          <w:p w14:paraId="033B737D">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rPr>
                <w:rFonts w:hint="eastAsia" w:ascii="仿宋" w:hAnsi="仿宋" w:eastAsia="仿宋" w:cs="仿宋"/>
                <w:b/>
                <w:sz w:val="32"/>
                <w:szCs w:val="32"/>
                <w:highlight w:val="none"/>
                <w:lang w:val="en-US" w:eastAsia="zh-CN"/>
              </w:rPr>
            </w:pPr>
            <w:r>
              <w:rPr>
                <w:rFonts w:hint="eastAsia" w:ascii="仿宋" w:hAnsi="仿宋" w:eastAsia="仿宋" w:cs="仿宋"/>
                <w:b/>
                <w:sz w:val="32"/>
                <w:szCs w:val="32"/>
                <w:highlight w:val="none"/>
                <w:lang w:val="en-US" w:eastAsia="zh-CN"/>
              </w:rPr>
              <w:t>总价</w:t>
            </w:r>
          </w:p>
        </w:tc>
      </w:tr>
      <w:tr w14:paraId="69D18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946" w:type="dxa"/>
            <w:noWrap w:val="0"/>
            <w:vAlign w:val="center"/>
          </w:tcPr>
          <w:p w14:paraId="71E4953D">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right="0" w:rightChars="0" w:firstLine="0" w:firstLineChars="0"/>
              <w:jc w:val="center"/>
              <w:rPr>
                <w:rFonts w:hint="eastAsia" w:ascii="仿宋" w:hAnsi="仿宋" w:eastAsia="仿宋" w:cs="仿宋"/>
                <w:bCs w:val="0"/>
                <w:color w:val="000000"/>
                <w:kern w:val="2"/>
                <w:sz w:val="32"/>
                <w:szCs w:val="32"/>
                <w:highlight w:val="none"/>
                <w:lang w:val="en-US" w:eastAsia="zh-CN"/>
              </w:rPr>
            </w:pPr>
            <w:r>
              <w:rPr>
                <w:rFonts w:hint="eastAsia" w:ascii="仿宋" w:hAnsi="仿宋" w:eastAsia="仿宋" w:cs="仿宋"/>
                <w:bCs w:val="0"/>
                <w:color w:val="000000"/>
                <w:kern w:val="2"/>
                <w:sz w:val="32"/>
                <w:szCs w:val="32"/>
                <w:highlight w:val="none"/>
                <w:lang w:val="en-US" w:eastAsia="zh-CN"/>
              </w:rPr>
              <w:t>A02320300 医用电子生理参数检测仪器设备</w:t>
            </w:r>
          </w:p>
        </w:tc>
        <w:tc>
          <w:tcPr>
            <w:tcW w:w="3346" w:type="dxa"/>
            <w:shd w:val="clear" w:color="auto" w:fill="auto"/>
            <w:noWrap w:val="0"/>
            <w:vAlign w:val="center"/>
          </w:tcPr>
          <w:p w14:paraId="67A7F772">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right="0" w:rightChars="0" w:firstLine="0" w:firstLineChars="0"/>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bCs w:val="0"/>
                <w:color w:val="000000"/>
                <w:kern w:val="2"/>
                <w:sz w:val="32"/>
                <w:szCs w:val="32"/>
                <w:highlight w:val="none"/>
                <w:lang w:val="en-US" w:eastAsia="zh-CN"/>
              </w:rPr>
              <w:t>心电监护仪</w:t>
            </w:r>
          </w:p>
        </w:tc>
        <w:tc>
          <w:tcPr>
            <w:tcW w:w="1745" w:type="dxa"/>
            <w:shd w:val="clear" w:color="auto" w:fill="auto"/>
            <w:noWrap w:val="0"/>
            <w:vAlign w:val="center"/>
          </w:tcPr>
          <w:p w14:paraId="5AE573CF">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right="0" w:rightChars="0" w:firstLine="0" w:firstLineChars="0"/>
              <w:jc w:val="center"/>
              <w:textAlignment w:val="center"/>
              <w:rPr>
                <w:rFonts w:hint="eastAsia" w:ascii="仿宋" w:hAnsi="仿宋" w:eastAsia="仿宋" w:cs="仿宋"/>
                <w:i w:val="0"/>
                <w:iCs w:val="0"/>
                <w:color w:val="000000"/>
                <w:kern w:val="2"/>
                <w:sz w:val="32"/>
                <w:szCs w:val="32"/>
                <w:u w:val="none"/>
                <w:lang w:val="en-US" w:eastAsia="zh-CN" w:bidi="ar-SA"/>
              </w:rPr>
            </w:pPr>
            <w:r>
              <w:rPr>
                <w:rFonts w:hint="eastAsia" w:ascii="仿宋" w:hAnsi="仿宋" w:eastAsia="仿宋" w:cs="仿宋"/>
                <w:i w:val="0"/>
                <w:iCs w:val="0"/>
                <w:color w:val="000000"/>
                <w:kern w:val="2"/>
                <w:sz w:val="32"/>
                <w:szCs w:val="32"/>
                <w:u w:val="none"/>
                <w:lang w:val="en-US" w:eastAsia="zh-CN" w:bidi="ar-SA"/>
              </w:rPr>
              <w:t>1</w:t>
            </w:r>
          </w:p>
        </w:tc>
        <w:tc>
          <w:tcPr>
            <w:tcW w:w="1337" w:type="dxa"/>
            <w:gridSpan w:val="2"/>
            <w:noWrap w:val="0"/>
            <w:vAlign w:val="center"/>
          </w:tcPr>
          <w:p w14:paraId="46D813DE">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right="0" w:rightChars="0" w:firstLine="0" w:firstLineChars="0"/>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30000</w:t>
            </w:r>
          </w:p>
        </w:tc>
        <w:tc>
          <w:tcPr>
            <w:tcW w:w="1813" w:type="dxa"/>
            <w:noWrap w:val="0"/>
            <w:vAlign w:val="center"/>
          </w:tcPr>
          <w:p w14:paraId="70669D5C">
            <w:pPr>
              <w:keepNext w:val="0"/>
              <w:keepLines w:val="0"/>
              <w:pageBreakBefore w:val="0"/>
              <w:widowControl/>
              <w:suppressLineNumbers w:val="0"/>
              <w:kinsoku/>
              <w:wordWrap/>
              <w:overflowPunct/>
              <w:topLinePunct w:val="0"/>
              <w:autoSpaceDE/>
              <w:autoSpaceDN/>
              <w:bidi w:val="0"/>
              <w:adjustRightInd/>
              <w:spacing w:line="560" w:lineRule="exact"/>
              <w:jc w:val="center"/>
              <w:textAlignment w:val="center"/>
              <w:rPr>
                <w:rFonts w:hint="eastAsia" w:ascii="仿宋" w:hAnsi="仿宋" w:eastAsia="仿宋" w:cs="仿宋"/>
                <w:bCs w:val="0"/>
                <w:color w:val="000000"/>
                <w:kern w:val="2"/>
                <w:sz w:val="32"/>
                <w:szCs w:val="32"/>
                <w:highlight w:val="none"/>
                <w:lang w:val="en-US" w:eastAsia="zh-CN"/>
              </w:rPr>
            </w:pPr>
            <w:r>
              <w:rPr>
                <w:rFonts w:hint="eastAsia" w:ascii="仿宋" w:hAnsi="仿宋" w:eastAsia="仿宋" w:cs="仿宋"/>
                <w:bCs w:val="0"/>
                <w:color w:val="000000"/>
                <w:kern w:val="2"/>
                <w:sz w:val="32"/>
                <w:szCs w:val="32"/>
                <w:highlight w:val="none"/>
                <w:lang w:val="en-US" w:eastAsia="zh-CN"/>
              </w:rPr>
              <w:t>30000</w:t>
            </w:r>
          </w:p>
        </w:tc>
      </w:tr>
      <w:tr w14:paraId="1C283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2946" w:type="dxa"/>
            <w:noWrap w:val="0"/>
            <w:vAlign w:val="center"/>
          </w:tcPr>
          <w:p w14:paraId="358F4B82">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rPr>
                <w:rFonts w:hint="eastAsia" w:ascii="仿宋" w:hAnsi="仿宋" w:eastAsia="仿宋" w:cs="仿宋"/>
                <w:bCs w:val="0"/>
                <w:color w:val="000000"/>
                <w:kern w:val="2"/>
                <w:sz w:val="32"/>
                <w:szCs w:val="32"/>
                <w:highlight w:val="none"/>
                <w:lang w:val="en-US" w:eastAsia="zh-CN"/>
              </w:rPr>
            </w:pPr>
            <w:r>
              <w:rPr>
                <w:rFonts w:hint="eastAsia" w:ascii="仿宋" w:hAnsi="仿宋" w:eastAsia="仿宋" w:cs="仿宋"/>
                <w:bCs w:val="0"/>
                <w:color w:val="000000"/>
                <w:kern w:val="2"/>
                <w:sz w:val="32"/>
                <w:szCs w:val="32"/>
                <w:highlight w:val="none"/>
                <w:lang w:val="en-US" w:eastAsia="zh-CN"/>
              </w:rPr>
              <w:t>A02322700 病房护理及医院设备</w:t>
            </w:r>
          </w:p>
        </w:tc>
        <w:tc>
          <w:tcPr>
            <w:tcW w:w="3346" w:type="dxa"/>
            <w:shd w:val="clear" w:color="auto" w:fill="auto"/>
            <w:noWrap w:val="0"/>
            <w:vAlign w:val="center"/>
          </w:tcPr>
          <w:p w14:paraId="01636FC4">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right="0" w:rightChars="0" w:firstLine="0" w:firstLineChars="0"/>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小号治疗车</w:t>
            </w:r>
          </w:p>
        </w:tc>
        <w:tc>
          <w:tcPr>
            <w:tcW w:w="1745" w:type="dxa"/>
            <w:shd w:val="clear" w:color="auto" w:fill="auto"/>
            <w:noWrap w:val="0"/>
            <w:vAlign w:val="center"/>
          </w:tcPr>
          <w:p w14:paraId="134F6ADF">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right="0" w:rightChars="0" w:firstLine="0" w:firstLineChars="0"/>
              <w:jc w:val="center"/>
              <w:textAlignment w:val="center"/>
              <w:rPr>
                <w:rFonts w:hint="eastAsia" w:ascii="仿宋" w:hAnsi="仿宋" w:eastAsia="仿宋" w:cs="仿宋"/>
                <w:i w:val="0"/>
                <w:iCs w:val="0"/>
                <w:color w:val="000000"/>
                <w:kern w:val="2"/>
                <w:sz w:val="32"/>
                <w:szCs w:val="32"/>
                <w:u w:val="none"/>
                <w:lang w:val="en-US" w:eastAsia="zh-CN" w:bidi="ar-SA"/>
              </w:rPr>
            </w:pPr>
            <w:r>
              <w:rPr>
                <w:rFonts w:hint="eastAsia" w:ascii="仿宋" w:hAnsi="仿宋" w:eastAsia="仿宋" w:cs="仿宋"/>
                <w:i w:val="0"/>
                <w:iCs w:val="0"/>
                <w:color w:val="000000"/>
                <w:kern w:val="2"/>
                <w:sz w:val="32"/>
                <w:szCs w:val="32"/>
                <w:u w:val="none"/>
                <w:lang w:val="en-US" w:eastAsia="zh-CN" w:bidi="ar-SA"/>
              </w:rPr>
              <w:t>2</w:t>
            </w:r>
          </w:p>
        </w:tc>
        <w:tc>
          <w:tcPr>
            <w:tcW w:w="1337" w:type="dxa"/>
            <w:gridSpan w:val="2"/>
            <w:noWrap w:val="0"/>
            <w:vAlign w:val="center"/>
          </w:tcPr>
          <w:p w14:paraId="7ADFB2F9">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right="0" w:rightChars="0" w:firstLine="0" w:firstLineChars="0"/>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1500</w:t>
            </w:r>
          </w:p>
        </w:tc>
        <w:tc>
          <w:tcPr>
            <w:tcW w:w="1813" w:type="dxa"/>
            <w:noWrap w:val="0"/>
            <w:vAlign w:val="center"/>
          </w:tcPr>
          <w:p w14:paraId="3012F7C0">
            <w:pPr>
              <w:keepNext w:val="0"/>
              <w:keepLines w:val="0"/>
              <w:pageBreakBefore w:val="0"/>
              <w:widowControl/>
              <w:suppressLineNumbers w:val="0"/>
              <w:kinsoku/>
              <w:wordWrap/>
              <w:overflowPunct/>
              <w:topLinePunct w:val="0"/>
              <w:autoSpaceDE/>
              <w:autoSpaceDN/>
              <w:bidi w:val="0"/>
              <w:adjustRightInd/>
              <w:spacing w:line="560" w:lineRule="exact"/>
              <w:jc w:val="center"/>
              <w:textAlignment w:val="center"/>
              <w:rPr>
                <w:rFonts w:hint="eastAsia" w:ascii="仿宋" w:hAnsi="仿宋" w:eastAsia="仿宋" w:cs="仿宋"/>
                <w:bCs w:val="0"/>
                <w:color w:val="000000"/>
                <w:kern w:val="2"/>
                <w:sz w:val="32"/>
                <w:szCs w:val="32"/>
                <w:highlight w:val="none"/>
                <w:lang w:val="en-US" w:eastAsia="zh-CN"/>
              </w:rPr>
            </w:pPr>
            <w:r>
              <w:rPr>
                <w:rFonts w:hint="eastAsia" w:ascii="仿宋" w:hAnsi="仿宋" w:eastAsia="仿宋" w:cs="仿宋"/>
                <w:bCs w:val="0"/>
                <w:color w:val="000000"/>
                <w:kern w:val="2"/>
                <w:sz w:val="32"/>
                <w:szCs w:val="32"/>
                <w:highlight w:val="none"/>
                <w:lang w:val="en-US" w:eastAsia="zh-CN"/>
              </w:rPr>
              <w:t>3000</w:t>
            </w:r>
          </w:p>
        </w:tc>
      </w:tr>
      <w:tr w14:paraId="7ED95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946" w:type="dxa"/>
            <w:noWrap w:val="0"/>
            <w:vAlign w:val="center"/>
          </w:tcPr>
          <w:p w14:paraId="74D6F18D">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rPr>
                <w:rFonts w:hint="eastAsia" w:ascii="仿宋" w:hAnsi="仿宋" w:eastAsia="仿宋" w:cs="仿宋"/>
                <w:bCs w:val="0"/>
                <w:color w:val="000000"/>
                <w:kern w:val="2"/>
                <w:sz w:val="32"/>
                <w:szCs w:val="32"/>
                <w:highlight w:val="none"/>
                <w:lang w:val="en-US" w:eastAsia="zh-CN"/>
              </w:rPr>
            </w:pPr>
            <w:r>
              <w:rPr>
                <w:rFonts w:hint="eastAsia" w:ascii="仿宋" w:hAnsi="仿宋" w:eastAsia="仿宋" w:cs="仿宋"/>
                <w:bCs w:val="0"/>
                <w:color w:val="000000"/>
                <w:kern w:val="2"/>
                <w:sz w:val="32"/>
                <w:szCs w:val="32"/>
                <w:highlight w:val="none"/>
                <w:lang w:val="en-US" w:eastAsia="zh-CN"/>
              </w:rPr>
              <w:t>A02322700 病房护理及医院设备</w:t>
            </w:r>
          </w:p>
        </w:tc>
        <w:tc>
          <w:tcPr>
            <w:tcW w:w="3346" w:type="dxa"/>
            <w:shd w:val="clear" w:color="auto" w:fill="auto"/>
            <w:noWrap w:val="0"/>
            <w:vAlign w:val="center"/>
          </w:tcPr>
          <w:p w14:paraId="7C46B7C7">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right="0" w:rightChars="0" w:firstLine="0" w:firstLineChars="0"/>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中号治疗车</w:t>
            </w:r>
          </w:p>
        </w:tc>
        <w:tc>
          <w:tcPr>
            <w:tcW w:w="1745" w:type="dxa"/>
            <w:shd w:val="clear" w:color="auto" w:fill="auto"/>
            <w:noWrap w:val="0"/>
            <w:vAlign w:val="center"/>
          </w:tcPr>
          <w:p w14:paraId="7525DEFA">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right="0" w:rightChars="0" w:firstLine="0" w:firstLineChars="0"/>
              <w:jc w:val="center"/>
              <w:textAlignment w:val="center"/>
              <w:rPr>
                <w:rFonts w:hint="eastAsia" w:ascii="仿宋" w:hAnsi="仿宋" w:eastAsia="仿宋" w:cs="仿宋"/>
                <w:i w:val="0"/>
                <w:iCs w:val="0"/>
                <w:color w:val="000000"/>
                <w:kern w:val="2"/>
                <w:sz w:val="32"/>
                <w:szCs w:val="32"/>
                <w:u w:val="none"/>
                <w:lang w:val="en-US" w:eastAsia="zh-CN" w:bidi="ar-SA"/>
              </w:rPr>
            </w:pPr>
            <w:r>
              <w:rPr>
                <w:rFonts w:hint="eastAsia" w:ascii="仿宋" w:hAnsi="仿宋" w:eastAsia="仿宋" w:cs="仿宋"/>
                <w:i w:val="0"/>
                <w:iCs w:val="0"/>
                <w:color w:val="000000"/>
                <w:kern w:val="2"/>
                <w:sz w:val="32"/>
                <w:szCs w:val="32"/>
                <w:u w:val="none"/>
                <w:lang w:val="en-US" w:eastAsia="zh-CN" w:bidi="ar-SA"/>
              </w:rPr>
              <w:t>2</w:t>
            </w:r>
          </w:p>
        </w:tc>
        <w:tc>
          <w:tcPr>
            <w:tcW w:w="1337" w:type="dxa"/>
            <w:gridSpan w:val="2"/>
            <w:noWrap w:val="0"/>
            <w:vAlign w:val="center"/>
          </w:tcPr>
          <w:p w14:paraId="4A58F3E6">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right="0" w:rightChars="0" w:firstLine="0" w:firstLineChars="0"/>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2500</w:t>
            </w:r>
          </w:p>
        </w:tc>
        <w:tc>
          <w:tcPr>
            <w:tcW w:w="1813" w:type="dxa"/>
            <w:noWrap w:val="0"/>
            <w:vAlign w:val="center"/>
          </w:tcPr>
          <w:p w14:paraId="733FDC4F">
            <w:pPr>
              <w:keepNext w:val="0"/>
              <w:keepLines w:val="0"/>
              <w:pageBreakBefore w:val="0"/>
              <w:widowControl/>
              <w:suppressLineNumbers w:val="0"/>
              <w:kinsoku/>
              <w:wordWrap/>
              <w:overflowPunct/>
              <w:topLinePunct w:val="0"/>
              <w:autoSpaceDE/>
              <w:autoSpaceDN/>
              <w:bidi w:val="0"/>
              <w:adjustRightInd/>
              <w:spacing w:line="560" w:lineRule="exact"/>
              <w:jc w:val="center"/>
              <w:textAlignment w:val="center"/>
              <w:rPr>
                <w:rFonts w:hint="eastAsia" w:ascii="仿宋" w:hAnsi="仿宋" w:eastAsia="仿宋" w:cs="仿宋"/>
                <w:bCs w:val="0"/>
                <w:color w:val="000000"/>
                <w:kern w:val="2"/>
                <w:sz w:val="32"/>
                <w:szCs w:val="32"/>
                <w:highlight w:val="none"/>
                <w:lang w:val="en-US" w:eastAsia="zh-CN"/>
              </w:rPr>
            </w:pPr>
            <w:r>
              <w:rPr>
                <w:rFonts w:hint="eastAsia" w:ascii="仿宋" w:hAnsi="仿宋" w:eastAsia="仿宋" w:cs="仿宋"/>
                <w:bCs w:val="0"/>
                <w:color w:val="000000"/>
                <w:kern w:val="2"/>
                <w:sz w:val="32"/>
                <w:szCs w:val="32"/>
                <w:highlight w:val="none"/>
                <w:lang w:val="en-US" w:eastAsia="zh-CN"/>
              </w:rPr>
              <w:t>5000</w:t>
            </w:r>
          </w:p>
        </w:tc>
      </w:tr>
      <w:tr w14:paraId="1479B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946" w:type="dxa"/>
            <w:noWrap w:val="0"/>
            <w:vAlign w:val="center"/>
          </w:tcPr>
          <w:p w14:paraId="76CB7441">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rPr>
                <w:rFonts w:hint="eastAsia" w:ascii="仿宋" w:hAnsi="仿宋" w:eastAsia="仿宋" w:cs="仿宋"/>
                <w:bCs w:val="0"/>
                <w:color w:val="000000"/>
                <w:kern w:val="2"/>
                <w:sz w:val="32"/>
                <w:szCs w:val="32"/>
                <w:highlight w:val="none"/>
                <w:lang w:val="en-US" w:eastAsia="zh-CN"/>
              </w:rPr>
            </w:pPr>
            <w:r>
              <w:rPr>
                <w:rFonts w:hint="eastAsia" w:ascii="仿宋" w:hAnsi="仿宋" w:eastAsia="仿宋" w:cs="仿宋"/>
                <w:bCs w:val="0"/>
                <w:color w:val="000000"/>
                <w:kern w:val="2"/>
                <w:sz w:val="32"/>
                <w:szCs w:val="32"/>
                <w:highlight w:val="none"/>
                <w:lang w:val="en-US" w:eastAsia="zh-CN"/>
              </w:rPr>
              <w:t>A02322700 病房护理及医院设备</w:t>
            </w:r>
          </w:p>
        </w:tc>
        <w:tc>
          <w:tcPr>
            <w:tcW w:w="3346" w:type="dxa"/>
            <w:shd w:val="clear" w:color="auto" w:fill="auto"/>
            <w:noWrap w:val="0"/>
            <w:vAlign w:val="center"/>
          </w:tcPr>
          <w:p w14:paraId="49AE0FE9">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right="0" w:rightChars="0" w:firstLine="0" w:firstLineChars="0"/>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多功能车</w:t>
            </w:r>
          </w:p>
        </w:tc>
        <w:tc>
          <w:tcPr>
            <w:tcW w:w="1745" w:type="dxa"/>
            <w:shd w:val="clear" w:color="auto" w:fill="auto"/>
            <w:noWrap w:val="0"/>
            <w:vAlign w:val="center"/>
          </w:tcPr>
          <w:p w14:paraId="1605169B">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right="0" w:rightChars="0" w:firstLine="0" w:firstLineChars="0"/>
              <w:jc w:val="center"/>
              <w:textAlignment w:val="center"/>
              <w:rPr>
                <w:rFonts w:hint="eastAsia" w:ascii="仿宋" w:hAnsi="仿宋" w:eastAsia="仿宋" w:cs="仿宋"/>
                <w:i w:val="0"/>
                <w:iCs w:val="0"/>
                <w:color w:val="000000"/>
                <w:kern w:val="2"/>
                <w:sz w:val="32"/>
                <w:szCs w:val="32"/>
                <w:u w:val="none"/>
                <w:lang w:val="en-US" w:eastAsia="zh-CN" w:bidi="ar-SA"/>
              </w:rPr>
            </w:pPr>
            <w:r>
              <w:rPr>
                <w:rFonts w:hint="eastAsia" w:ascii="仿宋" w:hAnsi="仿宋" w:eastAsia="仿宋" w:cs="仿宋"/>
                <w:i w:val="0"/>
                <w:iCs w:val="0"/>
                <w:color w:val="000000"/>
                <w:kern w:val="2"/>
                <w:sz w:val="32"/>
                <w:szCs w:val="32"/>
                <w:u w:val="none"/>
                <w:lang w:val="en-US" w:eastAsia="zh-CN" w:bidi="ar-SA"/>
              </w:rPr>
              <w:t>2</w:t>
            </w:r>
          </w:p>
        </w:tc>
        <w:tc>
          <w:tcPr>
            <w:tcW w:w="1337" w:type="dxa"/>
            <w:gridSpan w:val="2"/>
            <w:noWrap w:val="0"/>
            <w:vAlign w:val="center"/>
          </w:tcPr>
          <w:p w14:paraId="66E08438">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right="0" w:rightChars="0" w:firstLine="0" w:firstLineChars="0"/>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5000</w:t>
            </w:r>
          </w:p>
        </w:tc>
        <w:tc>
          <w:tcPr>
            <w:tcW w:w="1813" w:type="dxa"/>
            <w:noWrap w:val="0"/>
            <w:vAlign w:val="center"/>
          </w:tcPr>
          <w:p w14:paraId="20756261">
            <w:pPr>
              <w:keepNext w:val="0"/>
              <w:keepLines w:val="0"/>
              <w:pageBreakBefore w:val="0"/>
              <w:widowControl/>
              <w:suppressLineNumbers w:val="0"/>
              <w:kinsoku/>
              <w:wordWrap/>
              <w:overflowPunct/>
              <w:topLinePunct w:val="0"/>
              <w:autoSpaceDE/>
              <w:autoSpaceDN/>
              <w:bidi w:val="0"/>
              <w:adjustRightInd/>
              <w:spacing w:line="560" w:lineRule="exact"/>
              <w:jc w:val="center"/>
              <w:textAlignment w:val="center"/>
              <w:rPr>
                <w:rFonts w:hint="eastAsia" w:ascii="仿宋" w:hAnsi="仿宋" w:eastAsia="仿宋" w:cs="仿宋"/>
                <w:bCs w:val="0"/>
                <w:color w:val="000000"/>
                <w:kern w:val="2"/>
                <w:sz w:val="32"/>
                <w:szCs w:val="32"/>
                <w:highlight w:val="none"/>
                <w:lang w:val="en-US" w:eastAsia="zh-CN"/>
              </w:rPr>
            </w:pPr>
            <w:r>
              <w:rPr>
                <w:rFonts w:hint="eastAsia" w:ascii="仿宋" w:hAnsi="仿宋" w:eastAsia="仿宋" w:cs="仿宋"/>
                <w:bCs w:val="0"/>
                <w:color w:val="000000"/>
                <w:kern w:val="2"/>
                <w:sz w:val="32"/>
                <w:szCs w:val="32"/>
                <w:highlight w:val="none"/>
                <w:lang w:val="en-US" w:eastAsia="zh-CN"/>
              </w:rPr>
              <w:t>10000</w:t>
            </w:r>
          </w:p>
        </w:tc>
      </w:tr>
      <w:tr w14:paraId="246E5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41" w:type="dxa"/>
            <w:gridSpan w:val="4"/>
            <w:noWrap w:val="0"/>
            <w:vAlign w:val="center"/>
          </w:tcPr>
          <w:p w14:paraId="2F4B9028">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rPr>
                <w:rFonts w:hint="eastAsia" w:ascii="仿宋" w:hAnsi="仿宋" w:eastAsia="仿宋" w:cs="仿宋"/>
                <w:b/>
                <w:bCs w:val="0"/>
                <w:color w:val="000000"/>
                <w:kern w:val="2"/>
                <w:sz w:val="32"/>
                <w:szCs w:val="32"/>
                <w:highlight w:val="none"/>
                <w:lang w:eastAsia="zh-CN"/>
              </w:rPr>
            </w:pPr>
            <w:r>
              <w:rPr>
                <w:rFonts w:hint="eastAsia" w:ascii="仿宋" w:hAnsi="仿宋" w:eastAsia="仿宋" w:cs="仿宋"/>
                <w:b/>
                <w:bCs w:val="0"/>
                <w:color w:val="000000"/>
                <w:kern w:val="2"/>
                <w:sz w:val="32"/>
                <w:szCs w:val="32"/>
                <w:highlight w:val="none"/>
                <w:lang w:eastAsia="zh-CN"/>
              </w:rPr>
              <w:t>合计（</w:t>
            </w:r>
            <w:r>
              <w:rPr>
                <w:rFonts w:hint="eastAsia" w:ascii="仿宋" w:hAnsi="仿宋" w:eastAsia="仿宋" w:cs="仿宋"/>
                <w:b/>
                <w:bCs w:val="0"/>
                <w:color w:val="000000"/>
                <w:kern w:val="2"/>
                <w:sz w:val="32"/>
                <w:szCs w:val="32"/>
                <w:highlight w:val="none"/>
                <w:lang w:val="en-US" w:eastAsia="zh-CN"/>
              </w:rPr>
              <w:t>元）</w:t>
            </w:r>
          </w:p>
        </w:tc>
        <w:tc>
          <w:tcPr>
            <w:tcW w:w="1333" w:type="dxa"/>
            <w:noWrap w:val="0"/>
            <w:vAlign w:val="center"/>
          </w:tcPr>
          <w:p w14:paraId="38A68CE8">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rPr>
                <w:rFonts w:hint="eastAsia" w:ascii="仿宋" w:hAnsi="仿宋" w:eastAsia="仿宋" w:cs="仿宋"/>
                <w:b/>
                <w:bCs w:val="0"/>
                <w:color w:val="000000"/>
                <w:kern w:val="2"/>
                <w:sz w:val="32"/>
                <w:szCs w:val="32"/>
                <w:highlight w:val="none"/>
                <w:lang w:eastAsia="zh-CN"/>
              </w:rPr>
            </w:pPr>
          </w:p>
        </w:tc>
        <w:tc>
          <w:tcPr>
            <w:tcW w:w="1813" w:type="dxa"/>
            <w:noWrap w:val="0"/>
            <w:vAlign w:val="center"/>
          </w:tcPr>
          <w:p w14:paraId="43115169">
            <w:pPr>
              <w:keepNext w:val="0"/>
              <w:keepLines w:val="0"/>
              <w:pageBreakBefore w:val="0"/>
              <w:widowControl/>
              <w:suppressLineNumbers w:val="0"/>
              <w:kinsoku/>
              <w:wordWrap/>
              <w:overflowPunct/>
              <w:topLinePunct w:val="0"/>
              <w:autoSpaceDE/>
              <w:autoSpaceDN/>
              <w:bidi w:val="0"/>
              <w:adjustRightInd/>
              <w:spacing w:line="560" w:lineRule="exact"/>
              <w:jc w:val="center"/>
              <w:textAlignment w:val="center"/>
              <w:rPr>
                <w:rFonts w:hint="eastAsia" w:ascii="仿宋" w:hAnsi="仿宋" w:eastAsia="仿宋" w:cs="仿宋"/>
                <w:b/>
                <w:bCs w:val="0"/>
                <w:color w:val="000000"/>
                <w:kern w:val="2"/>
                <w:sz w:val="32"/>
                <w:szCs w:val="32"/>
                <w:highlight w:val="none"/>
                <w:lang w:val="en-US" w:eastAsia="zh-CN"/>
              </w:rPr>
            </w:pPr>
            <w:r>
              <w:rPr>
                <w:rFonts w:hint="eastAsia" w:ascii="仿宋" w:hAnsi="仿宋" w:eastAsia="仿宋" w:cs="仿宋"/>
                <w:b/>
                <w:bCs w:val="0"/>
                <w:color w:val="000000"/>
                <w:kern w:val="2"/>
                <w:sz w:val="32"/>
                <w:szCs w:val="32"/>
                <w:highlight w:val="none"/>
                <w:lang w:val="en-US" w:eastAsia="zh-CN"/>
              </w:rPr>
              <w:t>48000</w:t>
            </w:r>
          </w:p>
        </w:tc>
      </w:tr>
    </w:tbl>
    <w:p w14:paraId="45044D02">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bCs w:val="0"/>
          <w:color w:val="000000"/>
          <w:kern w:val="2"/>
          <w:sz w:val="32"/>
          <w:szCs w:val="32"/>
          <w:highlight w:val="none"/>
          <w:lang w:val="en-US" w:eastAsia="zh-CN"/>
        </w:rPr>
        <w:t>（一）</w:t>
      </w:r>
      <w:r>
        <w:rPr>
          <w:rFonts w:hint="eastAsia" w:ascii="仿宋" w:hAnsi="仿宋" w:eastAsia="仿宋" w:cs="仿宋"/>
          <w:i w:val="0"/>
          <w:iCs w:val="0"/>
          <w:color w:val="000000"/>
          <w:kern w:val="0"/>
          <w:sz w:val="32"/>
          <w:szCs w:val="32"/>
          <w:u w:val="none"/>
          <w:lang w:val="en-US" w:eastAsia="zh-CN" w:bidi="ar"/>
        </w:rPr>
        <w:t>心电监护仪参数要求：</w:t>
      </w:r>
    </w:p>
    <w:p w14:paraId="1BB0CF6C">
      <w:pPr>
        <w:pStyle w:val="3"/>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1、显示器：≥12英寸彩色液晶触摸屏，分辨率≥1280*800像素，10通道波形显示。</w:t>
      </w:r>
    </w:p>
    <w:p w14:paraId="39D2A146">
      <w:pPr>
        <w:pStyle w:val="3"/>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2、主机设计：主机可同时监测：心电、心率、血氧饱和度、无创血压、呼吸、脉率、体温。</w:t>
      </w:r>
    </w:p>
    <w:p w14:paraId="591BED2A">
      <w:pPr>
        <w:pStyle w:val="3"/>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3、心电监护：ECG, TEMP, SpO2 , NIBP</w:t>
      </w:r>
    </w:p>
    <w:p w14:paraId="6294E246">
      <w:pPr>
        <w:pStyle w:val="3"/>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4、心电监测算法必须采用国际公认的标准心电算法，如ST/AR ECG、Marquette 12SL ECG、Mortara ECG、Glasgow ECG等</w:t>
      </w:r>
    </w:p>
    <w:p w14:paraId="562FFC36">
      <w:pPr>
        <w:pStyle w:val="3"/>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5、心电监护：十二导联ST数值可以图形形式标记，动态观察ST段变化趋势，心肌缺血定位，指导临床治疗。</w:t>
      </w:r>
    </w:p>
    <w:p w14:paraId="5FBFA573">
      <w:pPr>
        <w:pStyle w:val="3"/>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6、血氧监护：血氧饱和度监测可同时提供灌注指示和智能延迟报警。</w:t>
      </w:r>
    </w:p>
    <w:p w14:paraId="03DA0CF4">
      <w:pPr>
        <w:pStyle w:val="3"/>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7、数据存储：支持48小时全息波形的存储与回顾功能。不小于120小时（分辨率1分钟）ST模板存储与回顾。不小于1000组NIBP测量结果。不小于1000条事件回顾。</w:t>
      </w:r>
    </w:p>
    <w:p w14:paraId="2980B3A5">
      <w:pPr>
        <w:pStyle w:val="3"/>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8、无创血压：具有4种监测模式：除手动、自动、快速测量外，还具有序列测量模式（根据患者的病情设定测量次数与时间）。</w:t>
      </w:r>
    </w:p>
    <w:p w14:paraId="3258C2CB">
      <w:pPr>
        <w:pStyle w:val="3"/>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p>
    <w:p w14:paraId="4105885C">
      <w:pPr>
        <w:pStyle w:val="3"/>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（二）小号治疗车</w:t>
      </w:r>
      <w:r>
        <w:rPr>
          <w:rFonts w:hint="eastAsia" w:ascii="仿宋" w:hAnsi="仿宋" w:eastAsia="仿宋" w:cs="仿宋"/>
          <w:i w:val="0"/>
          <w:iCs w:val="0"/>
          <w:color w:val="000000"/>
          <w:kern w:val="0"/>
          <w:sz w:val="32"/>
          <w:szCs w:val="32"/>
          <w:u w:val="none"/>
          <w:lang w:val="en-US" w:eastAsia="zh-CN" w:bidi="ar"/>
        </w:rPr>
        <w:t>参数要求：</w:t>
      </w:r>
    </w:p>
    <w:p w14:paraId="5686F1A3">
      <w:pPr>
        <w:pStyle w:val="3"/>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1、573±10mm*365±10mm*925±10mm</w:t>
      </w:r>
    </w:p>
    <w:p w14:paraId="50CE6EE1">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kern w:val="2"/>
          <w:sz w:val="32"/>
          <w:szCs w:val="32"/>
          <w:lang w:val="en-US" w:eastAsia="zh-CN" w:bidi="ar-SA"/>
        </w:rPr>
        <w:t>2、</w:t>
      </w:r>
      <w:r>
        <w:rPr>
          <w:rFonts w:hint="eastAsia" w:ascii="仿宋" w:hAnsi="仿宋" w:eastAsia="仿宋" w:cs="仿宋"/>
          <w:sz w:val="32"/>
          <w:szCs w:val="32"/>
          <w:highlight w:val="none"/>
          <w:lang w:val="en-US" w:eastAsia="zh-CN"/>
        </w:rPr>
        <w:t>两层一抽</w:t>
      </w:r>
    </w:p>
    <w:p w14:paraId="30DD1C6F">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kern w:val="2"/>
          <w:sz w:val="32"/>
          <w:szCs w:val="32"/>
          <w:lang w:val="en-US" w:eastAsia="zh-CN" w:bidi="ar-SA"/>
        </w:rPr>
        <w:t>3、</w:t>
      </w:r>
      <w:r>
        <w:rPr>
          <w:rFonts w:hint="eastAsia" w:ascii="仿宋" w:hAnsi="仿宋" w:eastAsia="仿宋" w:cs="仿宋"/>
          <w:sz w:val="32"/>
          <w:szCs w:val="32"/>
          <w:highlight w:val="none"/>
          <w:lang w:val="en-US" w:eastAsia="zh-CN"/>
        </w:rPr>
        <w:t>配有小长桶、物品架各一个</w:t>
      </w:r>
    </w:p>
    <w:p w14:paraId="1A5F30A2">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p>
    <w:p w14:paraId="76A58A75">
      <w:pPr>
        <w:pStyle w:val="3"/>
        <w:keepNext w:val="0"/>
        <w:keepLines w:val="0"/>
        <w:pageBreakBefore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中号治疗车</w:t>
      </w:r>
      <w:r>
        <w:rPr>
          <w:rFonts w:hint="eastAsia" w:ascii="仿宋" w:hAnsi="仿宋" w:eastAsia="仿宋" w:cs="仿宋"/>
          <w:i w:val="0"/>
          <w:iCs w:val="0"/>
          <w:color w:val="000000"/>
          <w:kern w:val="0"/>
          <w:sz w:val="32"/>
          <w:szCs w:val="32"/>
          <w:u w:val="none"/>
          <w:lang w:val="en-US" w:eastAsia="zh-CN" w:bidi="ar"/>
        </w:rPr>
        <w:t>参数要求：</w:t>
      </w:r>
    </w:p>
    <w:p w14:paraId="31202947">
      <w:pPr>
        <w:pStyle w:val="3"/>
        <w:keepNext w:val="0"/>
        <w:keepLines w:val="0"/>
        <w:pageBreakBefore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1、640±10mm*440±10mm*946±10mm</w:t>
      </w:r>
      <w:r>
        <w:rPr>
          <w:rFonts w:hint="eastAsia" w:ascii="仿宋" w:hAnsi="仿宋" w:eastAsia="仿宋" w:cs="仿宋"/>
          <w:sz w:val="32"/>
          <w:szCs w:val="32"/>
          <w:highlight w:val="none"/>
          <w:lang w:val="en-US" w:eastAsia="zh-CN"/>
        </w:rPr>
        <w:br w:type="textWrapping"/>
      </w:r>
      <w:r>
        <w:rPr>
          <w:rFonts w:hint="eastAsia" w:ascii="仿宋" w:hAnsi="仿宋" w:eastAsia="仿宋" w:cs="仿宋"/>
          <w:sz w:val="32"/>
          <w:szCs w:val="32"/>
          <w:highlight w:val="none"/>
          <w:lang w:val="en-US" w:eastAsia="zh-CN"/>
        </w:rPr>
        <w:t>2、三层四抽</w:t>
      </w:r>
    </w:p>
    <w:p w14:paraId="5A86BD69">
      <w:pPr>
        <w:pStyle w:val="3"/>
        <w:keepNext w:val="0"/>
        <w:keepLines w:val="0"/>
        <w:pageBreakBefore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3、配有小长桶、物品架、脚踏桶各一个</w:t>
      </w:r>
    </w:p>
    <w:p w14:paraId="651CCA5D">
      <w:pPr>
        <w:pStyle w:val="3"/>
        <w:keepNext w:val="0"/>
        <w:keepLines w:val="0"/>
        <w:pageBreakBefore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 w:hAnsi="仿宋" w:eastAsia="仿宋" w:cs="仿宋"/>
          <w:sz w:val="32"/>
          <w:szCs w:val="32"/>
          <w:highlight w:val="none"/>
          <w:lang w:val="en-US" w:eastAsia="zh-CN"/>
        </w:rPr>
      </w:pPr>
    </w:p>
    <w:p w14:paraId="05B1AC96">
      <w:pPr>
        <w:pStyle w:val="3"/>
        <w:keepNext w:val="0"/>
        <w:keepLines w:val="0"/>
        <w:pageBreakBefore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（四）多功能车</w:t>
      </w:r>
      <w:r>
        <w:rPr>
          <w:rFonts w:hint="eastAsia" w:ascii="仿宋" w:hAnsi="仿宋" w:eastAsia="仿宋" w:cs="仿宋"/>
          <w:i w:val="0"/>
          <w:iCs w:val="0"/>
          <w:color w:val="000000"/>
          <w:kern w:val="0"/>
          <w:sz w:val="32"/>
          <w:szCs w:val="32"/>
          <w:u w:val="none"/>
          <w:lang w:val="en-US" w:eastAsia="zh-CN" w:bidi="ar"/>
        </w:rPr>
        <w:t>参数要求：</w:t>
      </w:r>
    </w:p>
    <w:p w14:paraId="08DC22C5">
      <w:pPr>
        <w:pStyle w:val="3"/>
        <w:keepNext w:val="0"/>
        <w:keepLines w:val="0"/>
        <w:pageBreakBefore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1、660±10mm*460±10mm*980±10mm</w:t>
      </w:r>
    </w:p>
    <w:p w14:paraId="305BF8C0">
      <w:pPr>
        <w:pStyle w:val="3"/>
        <w:keepNext w:val="0"/>
        <w:keepLines w:val="0"/>
        <w:pageBreakBefore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2、五层五抽</w:t>
      </w:r>
    </w:p>
    <w:p w14:paraId="2D04AEBC">
      <w:pPr>
        <w:pStyle w:val="3"/>
        <w:keepNext w:val="0"/>
        <w:keepLines w:val="0"/>
        <w:pageBreakBefore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3、配有多功能写字板、中控锁各一个</w:t>
      </w:r>
    </w:p>
    <w:p w14:paraId="3ED49100">
      <w:pPr>
        <w:pStyle w:val="3"/>
        <w:keepNext w:val="0"/>
        <w:keepLines w:val="0"/>
        <w:pageBreakBefore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4、配有阻尼轨道、抽屉隔板、静音轮</w:t>
      </w:r>
    </w:p>
    <w:p w14:paraId="74A36301">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default" w:ascii="宋体" w:hAnsi="宋体" w:cs="宋体"/>
          <w:i w:val="0"/>
          <w:iCs w:val="0"/>
          <w:color w:val="000000"/>
          <w:kern w:val="0"/>
          <w:sz w:val="21"/>
          <w:szCs w:val="22"/>
          <w:u w:val="none"/>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ABBA1A"/>
    <w:multiLevelType w:val="singleLevel"/>
    <w:tmpl w:val="F8ABBA1A"/>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AA25A6"/>
    <w:rsid w:val="0EF8579D"/>
    <w:rsid w:val="459436C1"/>
    <w:rsid w:val="45AA25A6"/>
    <w:rsid w:val="55254469"/>
    <w:rsid w:val="57A677CA"/>
    <w:rsid w:val="5C003BAE"/>
    <w:rsid w:val="5D993A2E"/>
    <w:rsid w:val="717F46ED"/>
    <w:rsid w:val="72427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645"/>
    </w:pPr>
    <w:rPr>
      <w:rFonts w:ascii="Arial" w:hAnsi="Arial" w:eastAsia="仿宋_GB2312"/>
      <w:sz w:val="28"/>
    </w:rPr>
  </w:style>
  <w:style w:type="paragraph" w:styleId="3">
    <w:name w:val="Body Text First Indent 2"/>
    <w:basedOn w:val="2"/>
    <w:qFormat/>
    <w:uiPriority w:val="0"/>
    <w:pPr>
      <w:spacing w:after="120"/>
      <w:ind w:left="420" w:leftChars="200" w:firstLine="420" w:firstLineChars="200"/>
    </w:pPr>
    <w:rPr>
      <w:rFonts w:ascii="Times New Roman" w:hAnsi="Times New Roman" w:eastAsia="宋体" w:cs="Times New Roman"/>
      <w:sz w:val="21"/>
      <w:lang w:val="en-US" w:eastAsia="zh-CN"/>
    </w:rPr>
  </w:style>
  <w:style w:type="paragraph" w:customStyle="1" w:styleId="6">
    <w:name w:val="List Paragraph"/>
    <w:basedOn w:val="1"/>
    <w:qFormat/>
    <w:uiPriority w:val="0"/>
    <w:pPr>
      <w:ind w:left="720"/>
      <w:contextualSpacing/>
    </w:pPr>
    <w:rPr>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1340</Words>
  <Characters>1569</Characters>
  <Lines>0</Lines>
  <Paragraphs>0</Paragraphs>
  <TotalTime>231</TotalTime>
  <ScaleCrop>false</ScaleCrop>
  <LinksUpToDate>false</LinksUpToDate>
  <CharactersWithSpaces>1619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2026-02-26T09:25:00Z</dcterms:created>
  <dc:creator>LONG.</dc:creator>
  <cp:lastModifiedBy>隆.</cp:lastModifiedBy>
  <dcterms:modified xsi:type="dcterms:W3CDTF">2026-08-07T09:17:25Z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25DA0093A74C40C3A7620BF850501F63_13</vt:lpwstr>
  </property>
  <property fmtid="{D5CDD505-2E9C-101B-9397-08002B2CF9AE}" pid="4" name="KSOTemplateDocerSaveRecord">
    <vt:lpwstr>eyJoZGlkIjoiZTc4ZWYwMWVjMmY3MTIyN2ZmNzg5MGIxMzc1YzUwMjEiLCJ1c2VySWQiOiIxNDE2ODc0MDQ5In0=</vt:lpwstr>
  </property>
</Properties>
</file>