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241F57">
      <w:pPr>
        <w:keepNext w:val="0"/>
        <w:keepLines w:val="0"/>
        <w:pageBreakBefore w:val="0"/>
        <w:widowControl w:val="0"/>
        <w:numPr>
          <w:ilvl w:val="0"/>
          <w:numId w:val="0"/>
        </w:numPr>
        <w:tabs>
          <w:tab w:val="left" w:pos="2653"/>
        </w:tabs>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kern w:val="2"/>
          <w:sz w:val="44"/>
          <w:szCs w:val="44"/>
          <w:lang w:val="en-US" w:eastAsia="zh-CN" w:bidi="ar-SA"/>
        </w:rPr>
      </w:pPr>
      <w:r>
        <w:rPr>
          <w:rFonts w:hint="eastAsia" w:ascii="宋体" w:hAnsi="宋体" w:eastAsia="宋体" w:cs="宋体"/>
          <w:b/>
          <w:bCs/>
          <w:kern w:val="2"/>
          <w:sz w:val="44"/>
          <w:szCs w:val="44"/>
          <w:lang w:val="en-US" w:eastAsia="zh-CN" w:bidi="ar-SA"/>
        </w:rPr>
        <w:t>广州市增城区中医医院2025年-2026年安防视频监控系统维保维修项目采购需求</w:t>
      </w:r>
    </w:p>
    <w:p w14:paraId="0A02AAD8">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outlineLvl w:val="2"/>
        <w:rPr>
          <w:rFonts w:hint="eastAsia" w:ascii="宋体" w:hAnsi="宋体" w:eastAsia="宋体" w:cs="宋体"/>
          <w:color w:val="auto"/>
          <w:sz w:val="21"/>
          <w:szCs w:val="21"/>
          <w:highlight w:val="none"/>
        </w:rPr>
      </w:pPr>
      <w:bookmarkStart w:id="0" w:name="_Toc31935"/>
      <w:r>
        <w:rPr>
          <w:rFonts w:hint="eastAsia" w:ascii="宋体" w:hAnsi="宋体" w:eastAsia="宋体" w:cs="宋体"/>
          <w:b/>
          <w:color w:val="auto"/>
          <w:sz w:val="21"/>
          <w:szCs w:val="21"/>
          <w:highlight w:val="none"/>
        </w:rPr>
        <w:t>一、项目概况：</w:t>
      </w:r>
    </w:p>
    <w:p w14:paraId="04F85026">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1.项目名称：广州市增城区中医医院2025年-2026年</w:t>
      </w:r>
      <w:r>
        <w:rPr>
          <w:rFonts w:hint="eastAsia" w:ascii="宋体" w:hAnsi="宋体" w:eastAsia="宋体" w:cs="宋体"/>
          <w:color w:val="auto"/>
          <w:sz w:val="21"/>
          <w:szCs w:val="21"/>
          <w:highlight w:val="none"/>
          <w:lang w:eastAsia="zh-CN"/>
        </w:rPr>
        <w:t>安防</w:t>
      </w:r>
      <w:r>
        <w:rPr>
          <w:rFonts w:hint="eastAsia" w:ascii="宋体" w:hAnsi="宋体" w:eastAsia="宋体" w:cs="宋体"/>
          <w:color w:val="auto"/>
          <w:sz w:val="21"/>
          <w:szCs w:val="21"/>
          <w:highlight w:val="none"/>
        </w:rPr>
        <w:t>视频监控系统维保维修项目</w:t>
      </w:r>
    </w:p>
    <w:p w14:paraId="3435CEB4">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2.服务单位：广州市增城区中医医院</w:t>
      </w:r>
    </w:p>
    <w:p w14:paraId="282C14F3">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3.服务地点：广州市增城区荔城街民生路50号</w:t>
      </w:r>
    </w:p>
    <w:p w14:paraId="6ACCEA22">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4.项目年度预算：</w:t>
      </w:r>
      <w:r>
        <w:rPr>
          <w:rFonts w:hint="eastAsia" w:ascii="宋体" w:hAnsi="宋体" w:eastAsia="宋体" w:cs="宋体"/>
          <w:color w:val="auto"/>
          <w:sz w:val="21"/>
          <w:szCs w:val="21"/>
          <w:highlight w:val="none"/>
          <w:lang w:val="en-US" w:eastAsia="zh-CN"/>
        </w:rPr>
        <w:t>120000</w:t>
      </w:r>
      <w:r>
        <w:rPr>
          <w:rFonts w:hint="eastAsia" w:ascii="宋体" w:hAnsi="宋体" w:eastAsia="宋体" w:cs="宋体"/>
          <w:color w:val="auto"/>
          <w:sz w:val="21"/>
          <w:szCs w:val="21"/>
          <w:highlight w:val="none"/>
        </w:rPr>
        <w:t>元，</w:t>
      </w:r>
      <w:r>
        <w:rPr>
          <w:rFonts w:hint="eastAsia" w:ascii="宋体" w:hAnsi="宋体" w:eastAsia="宋体" w:cs="宋体"/>
          <w:color w:val="auto"/>
          <w:sz w:val="21"/>
          <w:szCs w:val="21"/>
          <w:highlight w:val="none"/>
          <w:lang w:val="en-US" w:eastAsia="zh-CN"/>
        </w:rPr>
        <w:t>其中日常维保费用约50000元，分四期进行结算（即每3个月结算一次）；故障维修约70000元（按实际维修费用列支）</w:t>
      </w:r>
      <w:r>
        <w:rPr>
          <w:rFonts w:hint="eastAsia" w:ascii="宋体" w:hAnsi="宋体" w:eastAsia="宋体" w:cs="宋体"/>
          <w:color w:val="auto"/>
          <w:sz w:val="21"/>
          <w:szCs w:val="21"/>
          <w:highlight w:val="none"/>
        </w:rPr>
        <w:t>。</w:t>
      </w:r>
    </w:p>
    <w:p w14:paraId="2D0BE84C">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5.</w:t>
      </w:r>
      <w:r>
        <w:rPr>
          <w:rFonts w:hint="eastAsia" w:ascii="宋体" w:hAnsi="宋体" w:eastAsia="宋体" w:cs="宋体"/>
          <w:color w:val="auto"/>
          <w:sz w:val="21"/>
          <w:szCs w:val="21"/>
          <w:highlight w:val="none"/>
          <w:lang w:val="en-US" w:eastAsia="zh-CN"/>
        </w:rPr>
        <w:t>维修更换设备或配件按照</w:t>
      </w:r>
      <w:r>
        <w:rPr>
          <w:rFonts w:hint="eastAsia" w:ascii="宋体" w:hAnsi="宋体" w:eastAsia="宋体" w:cs="宋体"/>
          <w:color w:val="auto"/>
          <w:sz w:val="21"/>
          <w:szCs w:val="21"/>
          <w:highlight w:val="none"/>
        </w:rPr>
        <w:t>最高限价单价</w:t>
      </w:r>
      <w:r>
        <w:rPr>
          <w:rFonts w:hint="eastAsia" w:ascii="宋体" w:hAnsi="宋体" w:eastAsia="宋体" w:cs="宋体"/>
          <w:color w:val="auto"/>
          <w:sz w:val="21"/>
          <w:szCs w:val="21"/>
          <w:highlight w:val="none"/>
          <w:lang w:val="en-US" w:eastAsia="zh-CN"/>
        </w:rPr>
        <w:t>进行</w:t>
      </w:r>
      <w:r>
        <w:rPr>
          <w:rFonts w:hint="eastAsia" w:ascii="宋体" w:hAnsi="宋体" w:cs="宋体"/>
          <w:color w:val="auto"/>
          <w:sz w:val="21"/>
          <w:szCs w:val="21"/>
          <w:highlight w:val="none"/>
          <w:lang w:val="en-US" w:eastAsia="zh-CN"/>
        </w:rPr>
        <w:t>比</w:t>
      </w:r>
      <w:r>
        <w:rPr>
          <w:rFonts w:hint="eastAsia" w:ascii="宋体" w:hAnsi="宋体" w:eastAsia="宋体" w:cs="宋体"/>
          <w:color w:val="auto"/>
          <w:sz w:val="21"/>
          <w:szCs w:val="21"/>
          <w:highlight w:val="none"/>
          <w:lang w:val="en-US" w:eastAsia="zh-CN"/>
        </w:rPr>
        <w:t>价。</w:t>
      </w:r>
    </w:p>
    <w:p w14:paraId="2159D398">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rPr>
        <w:t>.服务期限：自合同签订之日起</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年</w:t>
      </w:r>
    </w:p>
    <w:p w14:paraId="036B83DF">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采购品目及编码</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安保设备维修和保养服务，</w:t>
      </w:r>
      <w:r>
        <w:rPr>
          <w:rFonts w:hint="eastAsia" w:ascii="宋体" w:hAnsi="宋体" w:eastAsia="宋体" w:cs="宋体"/>
          <w:color w:val="auto"/>
          <w:sz w:val="21"/>
          <w:szCs w:val="21"/>
          <w:highlight w:val="none"/>
          <w:lang w:val="en-US" w:eastAsia="zh-CN"/>
        </w:rPr>
        <w:t>C23121000</w:t>
      </w:r>
    </w:p>
    <w:p w14:paraId="42DBA9B6">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8.采购人式：比价</w:t>
      </w:r>
    </w:p>
    <w:p w14:paraId="7EF1D585">
      <w:pPr>
        <w:pStyle w:val="9"/>
        <w:keepNext w:val="0"/>
        <w:keepLines w:val="0"/>
        <w:pageBreakBefore w:val="0"/>
        <w:widowControl/>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rPr>
        <w:t>.本项目</w:t>
      </w:r>
      <w:r>
        <w:rPr>
          <w:rFonts w:hint="eastAsia" w:ascii="宋体" w:hAnsi="宋体" w:eastAsia="宋体" w:cs="宋体"/>
          <w:color w:val="auto"/>
          <w:sz w:val="21"/>
          <w:szCs w:val="21"/>
          <w:highlight w:val="none"/>
          <w:lang w:eastAsia="zh-CN"/>
        </w:rPr>
        <w:t>成交供应商</w:t>
      </w:r>
      <w:r>
        <w:rPr>
          <w:rFonts w:hint="eastAsia" w:ascii="宋体" w:hAnsi="宋体" w:eastAsia="宋体" w:cs="宋体"/>
          <w:color w:val="auto"/>
          <w:sz w:val="21"/>
          <w:szCs w:val="21"/>
          <w:highlight w:val="none"/>
        </w:rPr>
        <w:t>为采购人提供</w:t>
      </w:r>
      <w:r>
        <w:rPr>
          <w:rFonts w:hint="eastAsia" w:ascii="宋体" w:hAnsi="宋体" w:eastAsia="宋体" w:cs="宋体"/>
          <w:color w:val="auto"/>
          <w:sz w:val="21"/>
          <w:szCs w:val="21"/>
          <w:highlight w:val="none"/>
          <w:lang w:val="en-US" w:eastAsia="zh-CN"/>
        </w:rPr>
        <w:t>监控系统设备（包括现有的高清监控摄像头（300个）、一键报警系统（1套）、监控系统（1套）及其他配套设施等以及后期根据需要加装的设备设施等）的定期维护、保养、检修及紧急故障处理等服务，确保医院整个视频监控系统正常运作</w:t>
      </w:r>
      <w:r>
        <w:rPr>
          <w:rFonts w:hint="eastAsia" w:ascii="宋体" w:hAnsi="宋体" w:eastAsia="宋体" w:cs="宋体"/>
          <w:color w:val="auto"/>
          <w:sz w:val="21"/>
          <w:szCs w:val="21"/>
          <w:highlight w:val="none"/>
        </w:rPr>
        <w:t>。</w:t>
      </w:r>
    </w:p>
    <w:p w14:paraId="23D9B0B0">
      <w:pPr>
        <w:pStyle w:val="9"/>
        <w:keepNext w:val="0"/>
        <w:keepLines w:val="0"/>
        <w:pageBreakBefore w:val="0"/>
        <w:widowControl/>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总体要求</w:t>
      </w:r>
    </w:p>
    <w:bookmarkEnd w:id="0"/>
    <w:p w14:paraId="5D56490B">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1.成交供应商应为系统正常运转提供技术支持和保障，每月最少上门进行一次维护，确保系统的正常稳定运转。</w:t>
      </w:r>
    </w:p>
    <w:p w14:paraId="37B5C811">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2.成交供应商应向采购人提供完整的维护保养记录（含现场维护保养作业照片等）和相关设备维修资料，保养记录经双方签名确认。</w:t>
      </w:r>
    </w:p>
    <w:p w14:paraId="0BBBB6E8">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3.成交供应商维护保养期间，必须遵守采购人的规章制度及安全环保等各项规定。成交供应商及其工作人员应保守在为采购人服务期间所获得的技术秘密、商业秘密等。</w:t>
      </w:r>
    </w:p>
    <w:p w14:paraId="5C20AFD7">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4.成交供应商为采购人提供7x24小时的故障响应服务，具体响应方式及响应时间根据主机的故障级别而定，其具体内容如下:</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
        <w:gridCol w:w="3056"/>
        <w:gridCol w:w="4095"/>
      </w:tblGrid>
      <w:tr w14:paraId="77A8F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061C0706">
            <w:pPr>
              <w:pStyle w:val="5"/>
              <w:spacing w:line="360" w:lineRule="auto"/>
              <w:ind w:left="0" w:lef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故障级别</w:t>
            </w:r>
          </w:p>
        </w:tc>
        <w:tc>
          <w:tcPr>
            <w:tcW w:w="3600" w:type="dxa"/>
            <w:noWrap w:val="0"/>
            <w:vAlign w:val="top"/>
          </w:tcPr>
          <w:p w14:paraId="6036C943">
            <w:pPr>
              <w:pStyle w:val="5"/>
              <w:spacing w:line="360" w:lineRule="auto"/>
              <w:ind w:left="0" w:lef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故障内容</w:t>
            </w:r>
          </w:p>
        </w:tc>
        <w:tc>
          <w:tcPr>
            <w:tcW w:w="4873" w:type="dxa"/>
            <w:noWrap w:val="0"/>
            <w:vAlign w:val="top"/>
          </w:tcPr>
          <w:p w14:paraId="3FA9E625">
            <w:pPr>
              <w:pStyle w:val="5"/>
              <w:spacing w:line="360" w:lineRule="auto"/>
              <w:ind w:left="0" w:leftChars="0" w:firstLine="0" w:firstLineChars="0"/>
              <w:jc w:val="center"/>
              <w:rPr>
                <w:rFonts w:hint="eastAsia" w:ascii="宋体" w:hAnsi="宋体" w:eastAsia="宋体" w:cs="宋体"/>
                <w:b/>
                <w:bCs/>
                <w:color w:val="auto"/>
                <w:sz w:val="21"/>
                <w:szCs w:val="21"/>
                <w:highlight w:val="none"/>
                <w:vertAlign w:val="baseline"/>
                <w:lang w:val="en-US" w:eastAsia="zh-CN"/>
              </w:rPr>
            </w:pPr>
            <w:r>
              <w:rPr>
                <w:rFonts w:hint="eastAsia" w:ascii="宋体" w:hAnsi="宋体" w:eastAsia="宋体" w:cs="宋体"/>
                <w:b/>
                <w:bCs/>
                <w:color w:val="auto"/>
                <w:sz w:val="21"/>
                <w:szCs w:val="21"/>
                <w:highlight w:val="none"/>
                <w:vertAlign w:val="baseline"/>
                <w:lang w:val="en-US" w:eastAsia="zh-CN"/>
              </w:rPr>
              <w:t>响应时间</w:t>
            </w:r>
          </w:p>
        </w:tc>
      </w:tr>
      <w:tr w14:paraId="3CF28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589BAE1C">
            <w:pPr>
              <w:pStyle w:val="5"/>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Ⅰ</w:t>
            </w:r>
          </w:p>
        </w:tc>
        <w:tc>
          <w:tcPr>
            <w:tcW w:w="3600" w:type="dxa"/>
            <w:noWrap w:val="0"/>
            <w:vAlign w:val="top"/>
          </w:tcPr>
          <w:p w14:paraId="788F2AB8">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系统出现警告，不影响系统运行。</w:t>
            </w:r>
          </w:p>
        </w:tc>
        <w:tc>
          <w:tcPr>
            <w:tcW w:w="4873" w:type="dxa"/>
            <w:noWrap w:val="0"/>
            <w:vAlign w:val="top"/>
          </w:tcPr>
          <w:p w14:paraId="5F8D2E6B">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7x24小时电话咨询，48小时内到达现场</w:t>
            </w:r>
          </w:p>
        </w:tc>
      </w:tr>
      <w:tr w14:paraId="59035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6B0B1727">
            <w:pPr>
              <w:pStyle w:val="5"/>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Ⅱ</w:t>
            </w:r>
          </w:p>
        </w:tc>
        <w:tc>
          <w:tcPr>
            <w:tcW w:w="3600" w:type="dxa"/>
            <w:noWrap w:val="0"/>
            <w:vAlign w:val="top"/>
          </w:tcPr>
          <w:p w14:paraId="523A7FB5">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出现部分设备</w:t>
            </w:r>
            <w:r>
              <w:rPr>
                <w:rFonts w:hint="eastAsia" w:ascii="宋体" w:hAnsi="宋体" w:eastAsia="宋体" w:cs="宋体"/>
                <w:color w:val="auto"/>
                <w:sz w:val="21"/>
                <w:szCs w:val="21"/>
                <w:highlight w:val="none"/>
                <w:lang w:val="en-US" w:eastAsia="zh-CN"/>
              </w:rPr>
              <w:t>损</w:t>
            </w:r>
            <w:r>
              <w:rPr>
                <w:rFonts w:hint="eastAsia" w:ascii="宋体" w:hAnsi="宋体" w:eastAsia="宋体" w:cs="宋体"/>
                <w:color w:val="auto"/>
                <w:sz w:val="21"/>
                <w:szCs w:val="21"/>
                <w:highlight w:val="none"/>
                <w:vertAlign w:val="baseline"/>
                <w:lang w:val="en-US" w:eastAsia="zh-CN"/>
              </w:rPr>
              <w:t>坏，但系统正常运行。</w:t>
            </w:r>
          </w:p>
        </w:tc>
        <w:tc>
          <w:tcPr>
            <w:tcW w:w="4873" w:type="dxa"/>
            <w:noWrap w:val="0"/>
            <w:vAlign w:val="top"/>
          </w:tcPr>
          <w:p w14:paraId="1A578839">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7x24小时电话咨询，24小时内到达现场</w:t>
            </w:r>
          </w:p>
        </w:tc>
      </w:tr>
      <w:tr w14:paraId="50AF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89" w:type="dxa"/>
            <w:noWrap w:val="0"/>
            <w:vAlign w:val="top"/>
          </w:tcPr>
          <w:p w14:paraId="2A55C4AD">
            <w:pPr>
              <w:pStyle w:val="5"/>
              <w:spacing w:line="360" w:lineRule="auto"/>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Ⅲ</w:t>
            </w:r>
          </w:p>
        </w:tc>
        <w:tc>
          <w:tcPr>
            <w:tcW w:w="3600" w:type="dxa"/>
            <w:noWrap w:val="0"/>
            <w:vAlign w:val="top"/>
          </w:tcPr>
          <w:p w14:paraId="680139A4">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系统故障，已无法正常运作。</w:t>
            </w:r>
          </w:p>
        </w:tc>
        <w:tc>
          <w:tcPr>
            <w:tcW w:w="4873" w:type="dxa"/>
            <w:noWrap w:val="0"/>
            <w:vAlign w:val="top"/>
          </w:tcPr>
          <w:p w14:paraId="72DBA650">
            <w:pPr>
              <w:pStyle w:val="5"/>
              <w:spacing w:line="360" w:lineRule="auto"/>
              <w:ind w:left="0" w:leftChars="0" w:firstLine="0" w:firstLineChars="0"/>
              <w:jc w:val="both"/>
              <w:rPr>
                <w:rFonts w:hint="eastAsia" w:ascii="宋体" w:hAnsi="宋体" w:eastAsia="宋体" w:cs="宋体"/>
                <w:color w:val="auto"/>
                <w:sz w:val="21"/>
                <w:szCs w:val="21"/>
                <w:highlight w:val="none"/>
                <w:vertAlign w:val="baseline"/>
                <w:lang w:val="en-US" w:eastAsia="zh-CN"/>
              </w:rPr>
            </w:pPr>
            <w:r>
              <w:rPr>
                <w:rFonts w:hint="eastAsia" w:ascii="宋体" w:hAnsi="宋体" w:eastAsia="宋体" w:cs="宋体"/>
                <w:color w:val="auto"/>
                <w:sz w:val="21"/>
                <w:szCs w:val="21"/>
                <w:highlight w:val="none"/>
                <w:vertAlign w:val="baseline"/>
                <w:lang w:val="en-US" w:eastAsia="zh-CN"/>
              </w:rPr>
              <w:t>7x24小时电话咨询，2--4小时内到达现场</w:t>
            </w:r>
          </w:p>
        </w:tc>
      </w:tr>
    </w:tbl>
    <w:p w14:paraId="627BAE5F">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5.维修过程中，如无须更换零部件，故障由供应商自行处理；如出现设备或零部件损坏，需要更换，所需零部件费用</w:t>
      </w:r>
      <w:r>
        <w:rPr>
          <w:rFonts w:hint="eastAsia" w:cs="宋体"/>
          <w:color w:val="auto"/>
          <w:sz w:val="21"/>
          <w:szCs w:val="21"/>
          <w:highlight w:val="none"/>
          <w:lang w:val="en-US" w:eastAsia="zh-CN"/>
        </w:rPr>
        <w:t>按照成交价</w:t>
      </w:r>
      <w:r>
        <w:rPr>
          <w:rFonts w:hint="eastAsia" w:ascii="宋体" w:hAnsi="宋体" w:eastAsia="宋体" w:cs="宋体"/>
          <w:color w:val="auto"/>
          <w:sz w:val="21"/>
          <w:szCs w:val="21"/>
          <w:highlight w:val="none"/>
          <w:lang w:val="en-US" w:eastAsia="zh-CN"/>
        </w:rPr>
        <w:t>由采购人据实支付</w:t>
      </w:r>
      <w:r>
        <w:rPr>
          <w:rFonts w:hint="eastAsia" w:cs="宋体"/>
          <w:color w:val="auto"/>
          <w:sz w:val="21"/>
          <w:szCs w:val="21"/>
          <w:highlight w:val="none"/>
          <w:lang w:val="en-US" w:eastAsia="zh-CN"/>
        </w:rPr>
        <w:t>，若更换配件不在需求清单表内，成交供应商报维修方案及价格给采购人审核确认后进行维修处理</w:t>
      </w:r>
      <w:r>
        <w:rPr>
          <w:rFonts w:hint="eastAsia" w:ascii="宋体" w:hAnsi="宋体" w:eastAsia="宋体" w:cs="宋体"/>
          <w:color w:val="auto"/>
          <w:sz w:val="21"/>
          <w:szCs w:val="21"/>
          <w:highlight w:val="none"/>
          <w:lang w:val="en-US" w:eastAsia="zh-CN"/>
        </w:rPr>
        <w:t>；如在36小时内无法修复，设备需外送检修，供应商须提供免费备用设备予采购人使用，直至设备维修好、能正常使用为止。</w:t>
      </w:r>
    </w:p>
    <w:p w14:paraId="0CD10463">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6.供应商为采购人提供服务期间，因维护保养工作所发生的施工人员事故及责任均由供应商负全部责任。</w:t>
      </w:r>
    </w:p>
    <w:p w14:paraId="123FDBA9">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7.维护保养项目:</w:t>
      </w:r>
    </w:p>
    <w:p w14:paraId="0317BC5E">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（1）前端采集设备:</w:t>
      </w:r>
    </w:p>
    <w:p w14:paraId="1901C90A">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A.护罩清洁，检查密封性能。</w:t>
      </w:r>
    </w:p>
    <w:p w14:paraId="04197539">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B.前端系统测试，摄像机镜头清晰度。</w:t>
      </w:r>
    </w:p>
    <w:p w14:paraId="4EA9DB1D">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C.电源、控制、视频接点检查，避免缠绕和松动。</w:t>
      </w:r>
    </w:p>
    <w:p w14:paraId="68A694A3">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（2）总控端系统:</w:t>
      </w:r>
    </w:p>
    <w:p w14:paraId="2DC03AE4">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A.每季度外观专业清洁。</w:t>
      </w:r>
    </w:p>
    <w:p w14:paraId="71413C1F">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B.例如:监视器:每季度屏幕外观清洁，采用专用镜头纸和屏幕清洗液。检查是否有着磁现象，进行消磁处理。</w:t>
      </w:r>
    </w:p>
    <w:p w14:paraId="42D48B94">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C.电源、控制、视频接点检查，避免缠绕和松动。</w:t>
      </w:r>
    </w:p>
    <w:p w14:paraId="4F8A2145">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D.硬盘录像主机内部清洁、系统优化、数据清理。</w:t>
      </w:r>
    </w:p>
    <w:p w14:paraId="3CF34CDE">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8.常见设备/配件明细及最高限价如下，不在服务目录内的设备或配件，由供应商报维修方案及报价给采购人审核确定后进行维修处理。</w:t>
      </w:r>
    </w:p>
    <w:tbl>
      <w:tblPr>
        <w:tblStyle w:val="6"/>
        <w:tblW w:w="849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5"/>
        <w:gridCol w:w="3045"/>
        <w:gridCol w:w="1665"/>
        <w:gridCol w:w="837"/>
        <w:gridCol w:w="780"/>
        <w:gridCol w:w="1383"/>
      </w:tblGrid>
      <w:tr w14:paraId="403263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center"/>
          </w:tcPr>
          <w:p w14:paraId="3F31C1B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3045" w:type="dxa"/>
            <w:tcBorders>
              <w:top w:val="single" w:color="000000" w:sz="4" w:space="0"/>
              <w:left w:val="single" w:color="000000" w:sz="4" w:space="0"/>
              <w:bottom w:val="single" w:color="000000" w:sz="4" w:space="0"/>
              <w:right w:val="single" w:color="000000" w:sz="4" w:space="0"/>
            </w:tcBorders>
            <w:noWrap/>
            <w:vAlign w:val="center"/>
          </w:tcPr>
          <w:p w14:paraId="455744D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类型</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408A992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highlight w:val="yellow"/>
                <w:u w:val="none"/>
                <w:lang w:val="en-US" w:eastAsia="zh-CN" w:bidi="ar"/>
              </w:rPr>
              <w:t>维保维修</w:t>
            </w:r>
            <w:r>
              <w:rPr>
                <w:rFonts w:hint="eastAsia" w:ascii="宋体" w:hAnsi="宋体" w:eastAsia="宋体" w:cs="宋体"/>
                <w:b/>
                <w:bCs/>
                <w:i w:val="0"/>
                <w:iCs w:val="0"/>
                <w:color w:val="000000"/>
                <w:kern w:val="0"/>
                <w:sz w:val="21"/>
                <w:szCs w:val="21"/>
                <w:u w:val="none"/>
                <w:lang w:val="en-US" w:eastAsia="zh-CN" w:bidi="ar"/>
              </w:rPr>
              <w:t>品牌型号</w:t>
            </w:r>
          </w:p>
        </w:tc>
        <w:tc>
          <w:tcPr>
            <w:tcW w:w="837" w:type="dxa"/>
            <w:tcBorders>
              <w:top w:val="single" w:color="000000" w:sz="4" w:space="0"/>
              <w:left w:val="single" w:color="000000" w:sz="4" w:space="0"/>
              <w:bottom w:val="single" w:color="000000" w:sz="4" w:space="0"/>
              <w:right w:val="single" w:color="000000" w:sz="4" w:space="0"/>
            </w:tcBorders>
            <w:noWrap/>
            <w:vAlign w:val="center"/>
          </w:tcPr>
          <w:p w14:paraId="11794382">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780" w:type="dxa"/>
            <w:tcBorders>
              <w:top w:val="single" w:color="000000" w:sz="4" w:space="0"/>
              <w:left w:val="single" w:color="000000" w:sz="4" w:space="0"/>
              <w:bottom w:val="single" w:color="000000" w:sz="4" w:space="0"/>
              <w:right w:val="single" w:color="000000" w:sz="4" w:space="0"/>
            </w:tcBorders>
            <w:noWrap/>
            <w:vAlign w:val="center"/>
          </w:tcPr>
          <w:p w14:paraId="5FC95FB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1383" w:type="dxa"/>
            <w:tcBorders>
              <w:top w:val="single" w:color="000000" w:sz="4" w:space="0"/>
              <w:left w:val="single" w:color="000000" w:sz="4" w:space="0"/>
              <w:bottom w:val="single" w:color="000000" w:sz="4" w:space="0"/>
              <w:right w:val="single" w:color="000000" w:sz="4" w:space="0"/>
            </w:tcBorders>
            <w:noWrap w:val="0"/>
            <w:vAlign w:val="center"/>
          </w:tcPr>
          <w:p w14:paraId="38121683">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最高报价单价（元）</w:t>
            </w:r>
          </w:p>
        </w:tc>
      </w:tr>
      <w:tr w14:paraId="47F3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336BC4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B8C69C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200万高清POE摄像枪</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F3445C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0A69C8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9EA631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A44520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233</w:t>
            </w:r>
          </w:p>
        </w:tc>
      </w:tr>
      <w:tr w14:paraId="05B99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598C99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21EF35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200万高清POE半球枪</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153823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35885F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1993E94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DB1D73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233</w:t>
            </w:r>
          </w:p>
        </w:tc>
      </w:tr>
      <w:tr w14:paraId="1FF6C7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A1D4FB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87D1ED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200万高清POE防爆摄像枪</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EE3D04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45A3B3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C72AC0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BA46B9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895</w:t>
            </w:r>
          </w:p>
        </w:tc>
      </w:tr>
      <w:tr w14:paraId="2E49E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EC1985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444480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7C6AEE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5F586C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3B5677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2D7B5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1120</w:t>
            </w:r>
          </w:p>
        </w:tc>
      </w:tr>
      <w:tr w14:paraId="74538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09BFF9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1AE05D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72C312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1003B0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47422C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072074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612</w:t>
            </w:r>
          </w:p>
        </w:tc>
      </w:tr>
      <w:tr w14:paraId="3585A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57850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154A89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71F3B8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17FC50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97C979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39D335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302</w:t>
            </w:r>
          </w:p>
        </w:tc>
      </w:tr>
      <w:tr w14:paraId="0BA13F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9A655C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E23BC2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4路硬盘录像机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E5C3D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176E34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61177A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F79439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206</w:t>
            </w:r>
          </w:p>
        </w:tc>
      </w:tr>
      <w:tr w14:paraId="6BD66E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60F2E7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35CD70D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监控网桥</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D86B33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D1945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17CAC8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CEBA55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370</w:t>
            </w:r>
          </w:p>
        </w:tc>
      </w:tr>
      <w:tr w14:paraId="26B6E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9CB948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87C99F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C54CA4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97CAD4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01859B1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ADB72A2">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420</w:t>
            </w:r>
          </w:p>
        </w:tc>
      </w:tr>
      <w:tr w14:paraId="5C02A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A7FAE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6F5E5E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43E1FC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6A1436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E5CAB0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76BD68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530</w:t>
            </w:r>
          </w:p>
        </w:tc>
      </w:tr>
      <w:tr w14:paraId="1EBA3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6B3E02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44DBAB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4C282F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0B605E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B52B23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8A7DD0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705</w:t>
            </w:r>
          </w:p>
        </w:tc>
      </w:tr>
      <w:tr w14:paraId="5CFFC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BCE045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64A1C9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3F308C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17A25F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C9CD0F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B4707A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1006</w:t>
            </w:r>
          </w:p>
        </w:tc>
      </w:tr>
      <w:tr w14:paraId="56589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F95ED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60A73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8T硬盘</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25CB019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希捷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04AB3F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339DE9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FD920C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1365</w:t>
            </w:r>
          </w:p>
        </w:tc>
      </w:tr>
      <w:tr w14:paraId="008136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B3286F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75F4156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4+2POE交换机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5784DE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4D2EF6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74D610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05E1E7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180</w:t>
            </w:r>
          </w:p>
        </w:tc>
      </w:tr>
      <w:tr w14:paraId="5D5FD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0C9EA5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E77E21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8+2POE交换机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2DA27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097780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84AD7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5415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261</w:t>
            </w:r>
          </w:p>
        </w:tc>
      </w:tr>
      <w:tr w14:paraId="47C1C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51E344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374B3D7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16口POE交换机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0DECF52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E13ED7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D40B64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C8F1B6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855</w:t>
            </w:r>
          </w:p>
        </w:tc>
      </w:tr>
      <w:tr w14:paraId="26016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D8BBE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02EA8B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24口POE交换机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E5B7CD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B40E7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BF8C2F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DCB50B6">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1107</w:t>
            </w:r>
          </w:p>
        </w:tc>
      </w:tr>
      <w:tr w14:paraId="0FABD3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358D76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48CB04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24口核心交换机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89A28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华为</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4711F5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CDE37D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4126510">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3380</w:t>
            </w:r>
          </w:p>
        </w:tc>
      </w:tr>
      <w:tr w14:paraId="2111E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11EB74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924282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FDD351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BAEBAD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CA3B7A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4730257">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105</w:t>
            </w:r>
          </w:p>
        </w:tc>
      </w:tr>
      <w:tr w14:paraId="3FF8B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B5311D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CDBEDD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DB387A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9DED86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1127AE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DAA51E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155</w:t>
            </w:r>
          </w:p>
        </w:tc>
      </w:tr>
      <w:tr w14:paraId="60EFF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170ED1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3972BD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16口交换机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2255DCC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CF4D1E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3ECB76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43DDF791">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385</w:t>
            </w:r>
          </w:p>
        </w:tc>
      </w:tr>
      <w:tr w14:paraId="11B4A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88C275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60C2E3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24口交换机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12A8C0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3B7244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E9F44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2BCD373">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397</w:t>
            </w:r>
          </w:p>
        </w:tc>
      </w:tr>
      <w:tr w14:paraId="1F75F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D10B81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38731F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支架AP-180</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A1D8E9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21546F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8A8C47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CE2ED6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w:t>
            </w:r>
          </w:p>
        </w:tc>
      </w:tr>
      <w:tr w14:paraId="08F362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67DA42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EA160C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网线5类</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2DCBD0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EB4A71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BA93B7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BEB04D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w:t>
            </w:r>
          </w:p>
        </w:tc>
      </w:tr>
      <w:tr w14:paraId="017FE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5D9C15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73D903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网线6类</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C8A9FA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海康威视</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43495E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0CEB0F6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米</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59B2DAAA">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2.8</w:t>
            </w:r>
          </w:p>
        </w:tc>
      </w:tr>
      <w:tr w14:paraId="50C38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0EB984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32700B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对讲主机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772E77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爱乐</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413AF8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73DCD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5B68A9B">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1800</w:t>
            </w:r>
          </w:p>
        </w:tc>
      </w:tr>
      <w:tr w14:paraId="4D645B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67AE67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6B7E9B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对讲分机</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502252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爱乐</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777FA1F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3D3C40B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6CF0E5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680</w:t>
            </w:r>
          </w:p>
        </w:tc>
      </w:tr>
      <w:tr w14:paraId="411CF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45B5075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2EE6AE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广播喇叭</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41E17E6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三雷</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10F7F73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076F920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1DB110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86</w:t>
            </w:r>
          </w:p>
        </w:tc>
      </w:tr>
      <w:tr w14:paraId="164FB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D43025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3F66897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显示器24寸</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D141CB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飞利埔</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2C69B88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50F37E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0D47235">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688</w:t>
            </w:r>
          </w:p>
        </w:tc>
      </w:tr>
      <w:tr w14:paraId="7CDDF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EE3D70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7D63AB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显示器24寸</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27B326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三星</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3366C3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F9CF8F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台</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3D69E908">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788</w:t>
            </w:r>
          </w:p>
        </w:tc>
      </w:tr>
      <w:tr w14:paraId="7A1043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7C02A6A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667A357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高清分屏器二分六</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661379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迈拓</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0EE1E5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7E47F35">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5FA9F7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245</w:t>
            </w:r>
          </w:p>
        </w:tc>
      </w:tr>
      <w:tr w14:paraId="0C49B0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AE0550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8B8891D">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多功能排插</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8EF2B2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公牛</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DACF26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47D74D7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D77800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r>
      <w:tr w14:paraId="6B96A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79964D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33</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00873C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电视挂墙架50寸-75寸</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14EA040">
            <w:pPr>
              <w:jc w:val="center"/>
              <w:rPr>
                <w:rFonts w:hint="eastAsia" w:ascii="宋体" w:hAnsi="宋体" w:eastAsia="宋体" w:cs="宋体"/>
                <w:i w:val="0"/>
                <w:iCs w:val="0"/>
                <w:color w:val="000000"/>
                <w:sz w:val="21"/>
                <w:szCs w:val="21"/>
                <w:u w:val="none"/>
                <w:lang w:val="en-US" w:eastAsia="zh-CN"/>
              </w:rPr>
            </w:pPr>
            <w:r>
              <w:rPr>
                <w:rFonts w:hint="eastAsia" w:ascii="宋体" w:hAnsi="宋体" w:cs="宋体"/>
                <w:i w:val="0"/>
                <w:iCs w:val="0"/>
                <w:color w:val="000000"/>
                <w:sz w:val="21"/>
                <w:szCs w:val="21"/>
                <w:u w:val="none"/>
                <w:lang w:val="en-US" w:eastAsia="zh-CN"/>
              </w:rPr>
              <w:t>/</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DB5236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43A15B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10EB377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r>
      <w:tr w14:paraId="333C1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6DCC635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34</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E61722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高清线15米</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8452DB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迈拓</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1A920C0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39D0BD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条</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3805D5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75</w:t>
            </w:r>
          </w:p>
        </w:tc>
      </w:tr>
      <w:tr w14:paraId="7F1FB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636DD4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35</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EA024E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设备箱400*280*120</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17BE8FA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监控专用</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E2883B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19027F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9D2FBAC">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66</w:t>
            </w:r>
          </w:p>
        </w:tc>
      </w:tr>
      <w:tr w14:paraId="1994B8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31ADBEB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E45F96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12V电源</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57D141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小耳朵</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512C2B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2A2F6BD3">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4EFDC9D">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20</w:t>
            </w:r>
          </w:p>
        </w:tc>
      </w:tr>
      <w:tr w14:paraId="38ADD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0DA0E4E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37</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4DFA383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二三插</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773725C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正泰</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6EAAB5B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DC601D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2582DA8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30</w:t>
            </w:r>
          </w:p>
        </w:tc>
      </w:tr>
      <w:tr w14:paraId="2BE15B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AB45BE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38</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0ED3C25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12V电池</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541C9BE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VINNIC松柏</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05DD312">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5DC570A4">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粒</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FFE3D64">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2.5</w:t>
            </w:r>
          </w:p>
        </w:tc>
      </w:tr>
      <w:tr w14:paraId="1DBE7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49DAD40">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39</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5334CE77">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3.6V插头线电池</w:t>
            </w:r>
          </w:p>
        </w:tc>
        <w:tc>
          <w:tcPr>
            <w:tcW w:w="1665" w:type="dxa"/>
            <w:tcBorders>
              <w:top w:val="single" w:color="000000" w:sz="4" w:space="0"/>
              <w:left w:val="single" w:color="000000" w:sz="4" w:space="0"/>
              <w:bottom w:val="single" w:color="000000" w:sz="4" w:space="0"/>
              <w:right w:val="single" w:color="000000" w:sz="4" w:space="0"/>
            </w:tcBorders>
            <w:noWrap/>
            <w:vAlign w:val="bottom"/>
          </w:tcPr>
          <w:p w14:paraId="30DDED4F">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XH2.54-2</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3A82713B">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8084F6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粒</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852046F">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4.5</w:t>
            </w:r>
          </w:p>
        </w:tc>
      </w:tr>
      <w:tr w14:paraId="2A2C7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284ACAF8">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8512D81">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紧急呼叫按钮</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5E764B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迅铃</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182708E9">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144909C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7BA43DA9">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120</w:t>
            </w:r>
          </w:p>
        </w:tc>
      </w:tr>
      <w:tr w14:paraId="0CE49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9136756">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41</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1499604C">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一键报警按钮</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39B3B39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历高LoRa</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53D9230A">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668603CE">
            <w:pPr>
              <w:keepNext w:val="0"/>
              <w:keepLines w:val="0"/>
              <w:widowControl/>
              <w:suppressLineNumbers w:val="0"/>
              <w:jc w:val="center"/>
              <w:textAlignment w:val="bottom"/>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6962D8DE">
            <w:pPr>
              <w:keepNext w:val="0"/>
              <w:keepLines w:val="0"/>
              <w:widowControl/>
              <w:suppressLineNumbers w:val="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bidi="ar"/>
              </w:rPr>
              <w:t>378</w:t>
            </w:r>
          </w:p>
        </w:tc>
      </w:tr>
      <w:tr w14:paraId="25B6EE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jc w:val="center"/>
        </w:trPr>
        <w:tc>
          <w:tcPr>
            <w:tcW w:w="785" w:type="dxa"/>
            <w:tcBorders>
              <w:top w:val="single" w:color="000000" w:sz="4" w:space="0"/>
              <w:left w:val="single" w:color="000000" w:sz="4" w:space="0"/>
              <w:bottom w:val="single" w:color="000000" w:sz="4" w:space="0"/>
              <w:right w:val="single" w:color="000000" w:sz="4" w:space="0"/>
            </w:tcBorders>
            <w:noWrap/>
            <w:vAlign w:val="bottom"/>
          </w:tcPr>
          <w:p w14:paraId="5119B39E">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42</w:t>
            </w:r>
          </w:p>
        </w:tc>
        <w:tc>
          <w:tcPr>
            <w:tcW w:w="3045" w:type="dxa"/>
            <w:tcBorders>
              <w:top w:val="single" w:color="000000" w:sz="4" w:space="0"/>
              <w:left w:val="single" w:color="000000" w:sz="4" w:space="0"/>
              <w:bottom w:val="single" w:color="000000" w:sz="4" w:space="0"/>
              <w:right w:val="single" w:color="000000" w:sz="4" w:space="0"/>
            </w:tcBorders>
            <w:noWrap/>
            <w:vAlign w:val="bottom"/>
          </w:tcPr>
          <w:p w14:paraId="28F24FC4">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日常维保费用</w:t>
            </w:r>
          </w:p>
        </w:tc>
        <w:tc>
          <w:tcPr>
            <w:tcW w:w="1665" w:type="dxa"/>
            <w:tcBorders>
              <w:top w:val="single" w:color="000000" w:sz="4" w:space="0"/>
              <w:left w:val="single" w:color="000000" w:sz="4" w:space="0"/>
              <w:bottom w:val="single" w:color="000000" w:sz="4" w:space="0"/>
              <w:right w:val="single" w:color="000000" w:sz="4" w:space="0"/>
            </w:tcBorders>
            <w:noWrap/>
            <w:vAlign w:val="center"/>
          </w:tcPr>
          <w:p w14:paraId="761C4DCE">
            <w:pPr>
              <w:keepNext w:val="0"/>
              <w:keepLines w:val="0"/>
              <w:widowControl/>
              <w:suppressLineNumbers w:val="0"/>
              <w:jc w:val="center"/>
              <w:textAlignment w:val="center"/>
              <w:rPr>
                <w:rFonts w:hint="default" w:ascii="宋体" w:hAnsi="宋体" w:eastAsia="宋体" w:cs="宋体"/>
                <w:i w:val="0"/>
                <w:iCs w:val="0"/>
                <w:color w:val="000000"/>
                <w:kern w:val="0"/>
                <w:sz w:val="21"/>
                <w:szCs w:val="21"/>
                <w:u w:val="none"/>
                <w:lang w:val="en-US" w:eastAsia="zh-CN" w:bidi="ar"/>
              </w:rPr>
            </w:pPr>
            <w:r>
              <w:rPr>
                <w:rFonts w:hint="eastAsia" w:ascii="宋体" w:hAnsi="宋体" w:cs="宋体"/>
                <w:i w:val="0"/>
                <w:iCs w:val="0"/>
                <w:color w:val="000000"/>
                <w:kern w:val="0"/>
                <w:sz w:val="21"/>
                <w:szCs w:val="21"/>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noWrap/>
            <w:vAlign w:val="bottom"/>
          </w:tcPr>
          <w:p w14:paraId="466F0A6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noWrap/>
            <w:vAlign w:val="bottom"/>
          </w:tcPr>
          <w:p w14:paraId="7C174178">
            <w:pPr>
              <w:keepNext w:val="0"/>
              <w:keepLines w:val="0"/>
              <w:widowControl/>
              <w:suppressLineNumbers w:val="0"/>
              <w:jc w:val="center"/>
              <w:textAlignment w:val="bottom"/>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项</w:t>
            </w:r>
          </w:p>
        </w:tc>
        <w:tc>
          <w:tcPr>
            <w:tcW w:w="1383" w:type="dxa"/>
            <w:tcBorders>
              <w:top w:val="single" w:color="000000" w:sz="4" w:space="0"/>
              <w:left w:val="single" w:color="000000" w:sz="4" w:space="0"/>
              <w:bottom w:val="single" w:color="000000" w:sz="4" w:space="0"/>
              <w:right w:val="single" w:color="000000" w:sz="4" w:space="0"/>
            </w:tcBorders>
            <w:noWrap/>
            <w:vAlign w:val="center"/>
          </w:tcPr>
          <w:p w14:paraId="0BD3315B">
            <w:pPr>
              <w:keepNext w:val="0"/>
              <w:keepLines w:val="0"/>
              <w:widowControl/>
              <w:suppressLineNumbers w:val="0"/>
              <w:jc w:val="center"/>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50000</w:t>
            </w:r>
          </w:p>
        </w:tc>
      </w:tr>
    </w:tbl>
    <w:p w14:paraId="22782768">
      <w:pPr>
        <w:pStyle w:val="5"/>
        <w:ind w:left="0" w:leftChars="0" w:firstLine="420" w:firstLineChars="200"/>
        <w:jc w:val="both"/>
        <w:rPr>
          <w:rFonts w:hint="eastAsia" w:ascii="宋体" w:hAnsi="宋体" w:eastAsia="宋体" w:cs="宋体"/>
          <w:color w:val="auto"/>
          <w:sz w:val="21"/>
          <w:szCs w:val="21"/>
          <w:highlight w:val="none"/>
          <w:lang w:val="en-US" w:eastAsia="zh-CN"/>
        </w:rPr>
      </w:pPr>
    </w:p>
    <w:p w14:paraId="4084A544">
      <w:pPr>
        <w:pStyle w:val="5"/>
        <w:spacing w:line="360" w:lineRule="auto"/>
        <w:ind w:left="0" w:leftChars="0" w:firstLine="422" w:firstLineChars="20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三、违约责任:</w:t>
      </w:r>
    </w:p>
    <w:p w14:paraId="6A057AE2">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由于成交供应商接到通知后未能及时对情况做出处理，而造成系统不能尽快恢复使用，每逾期一天，成交供应商应按100元/天向采购人支付违约金，采购人有权在维护保养费用中进行扣除;逾期超过3天的，采购人有权单方面终止本协议，相应责任由成交供应商承担。</w:t>
      </w:r>
    </w:p>
    <w:p w14:paraId="629729CC">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2.由于特殊情况(如雷雨天气等非成交供应商原因所致)，造成维护保养服务拖延或不能正常进行，采购人应按实际情况调整维护保养服务时间和内容，不计入违约之内。</w:t>
      </w:r>
    </w:p>
    <w:p w14:paraId="64BEE158">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3.由于采购人未按时支付维保和配件费用，或未遵循协议中规定的条例，致使成交供应商无法正常进行维护保养工作，成交供应商将有权单方面终止本协议，相应责任由采购人承担。</w:t>
      </w:r>
    </w:p>
    <w:p w14:paraId="0148D559">
      <w:pPr>
        <w:pStyle w:val="5"/>
        <w:numPr>
          <w:ilvl w:val="0"/>
          <w:numId w:val="0"/>
        </w:numPr>
        <w:spacing w:line="360" w:lineRule="auto"/>
        <w:ind w:firstLine="422" w:firstLineChars="20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lang w:val="en-US" w:eastAsia="zh-CN" w:bidi="ar-SA"/>
        </w:rPr>
        <w:t>四、付款结算</w:t>
      </w:r>
      <w:r>
        <w:rPr>
          <w:rFonts w:hint="eastAsia" w:ascii="宋体" w:hAnsi="宋体" w:eastAsia="宋体" w:cs="宋体"/>
          <w:b/>
          <w:bCs/>
          <w:color w:val="auto"/>
          <w:sz w:val="21"/>
          <w:szCs w:val="21"/>
          <w:highlight w:val="none"/>
          <w:lang w:val="en-US" w:eastAsia="zh-CN"/>
        </w:rPr>
        <w:t>：</w:t>
      </w:r>
    </w:p>
    <w:p w14:paraId="59BAA482">
      <w:pPr>
        <w:pStyle w:val="5"/>
        <w:numPr>
          <w:ilvl w:val="0"/>
          <w:numId w:val="0"/>
        </w:num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成交供应商按照约定每月进行不少于1次维修保养，所更换零件费用据实结算，经双方验收签名确认后，于每3个月的次月10日前将发票及其他报账资料提交给采购人申请付款，采购人收到发票等付款资料后在5个工作日内办理报账手续。如成交供应商逾期不提供发票，采购人有权顺延付款时间直至对方提供发票之日止。具体支付时间以财务科汇款时间为准。</w:t>
      </w:r>
    </w:p>
    <w:p w14:paraId="6DA87755">
      <w:pPr>
        <w:pStyle w:val="5"/>
        <w:numPr>
          <w:ilvl w:val="0"/>
          <w:numId w:val="0"/>
        </w:numPr>
        <w:spacing w:line="360" w:lineRule="auto"/>
        <w:ind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2.付款方式：银行汇款。</w:t>
      </w:r>
    </w:p>
    <w:p w14:paraId="5FB057BD">
      <w:pPr>
        <w:pStyle w:val="5"/>
        <w:numPr>
          <w:ilvl w:val="0"/>
          <w:numId w:val="0"/>
        </w:numPr>
        <w:spacing w:line="360" w:lineRule="auto"/>
        <w:ind w:firstLine="422" w:firstLineChars="200"/>
        <w:jc w:val="both"/>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kern w:val="2"/>
          <w:sz w:val="21"/>
          <w:szCs w:val="21"/>
          <w:lang w:val="en-US" w:eastAsia="zh-CN" w:bidi="ar-SA"/>
        </w:rPr>
        <w:t>五、</w:t>
      </w:r>
      <w:r>
        <w:rPr>
          <w:rFonts w:hint="eastAsia" w:ascii="宋体" w:hAnsi="宋体" w:eastAsia="宋体" w:cs="宋体"/>
          <w:b/>
          <w:bCs/>
          <w:color w:val="auto"/>
          <w:sz w:val="21"/>
          <w:szCs w:val="21"/>
          <w:highlight w:val="none"/>
          <w:lang w:val="en-US" w:eastAsia="zh-CN"/>
        </w:rPr>
        <w:t>履约验收：</w:t>
      </w:r>
    </w:p>
    <w:p w14:paraId="53BF145C">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1.维修保养需双方现场查看、确认所有的设备设施均完好，正常运作，并在维保记录单上进行签名确认、验收。</w:t>
      </w:r>
    </w:p>
    <w:p w14:paraId="29304AE0">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2.采购人和供应商应共同查验更换设备或配件产品的合格证及产品的完好性，并签订签收表。如对查验的</w:t>
      </w:r>
      <w:r>
        <w:rPr>
          <w:rFonts w:hint="eastAsia" w:cs="宋体"/>
          <w:color w:val="auto"/>
          <w:sz w:val="21"/>
          <w:szCs w:val="21"/>
          <w:highlight w:val="none"/>
          <w:lang w:val="en-US" w:eastAsia="zh-CN"/>
        </w:rPr>
        <w:t>配件</w:t>
      </w:r>
      <w:r>
        <w:rPr>
          <w:rFonts w:hint="eastAsia" w:ascii="宋体" w:hAnsi="宋体" w:eastAsia="宋体" w:cs="宋体"/>
          <w:color w:val="auto"/>
          <w:sz w:val="21"/>
          <w:szCs w:val="21"/>
          <w:highlight w:val="none"/>
          <w:lang w:val="en-US" w:eastAsia="zh-CN"/>
        </w:rPr>
        <w:t>出现数量不符、缺损或与合同规定不相符等，即为查验不合格，采购人有权拒收货物；供应商应对查验不合格的产品进行无条件免费补齐、调换等，检测直至无疑义，因此而产生的一切费用（含额外的运输费用等）由供应商全部承担。</w:t>
      </w:r>
    </w:p>
    <w:p w14:paraId="3DB58076">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3.验</w:t>
      </w:r>
      <w:r>
        <w:rPr>
          <w:rFonts w:hint="eastAsia" w:cs="宋体"/>
          <w:color w:val="auto"/>
          <w:sz w:val="21"/>
          <w:szCs w:val="21"/>
          <w:highlight w:val="none"/>
          <w:lang w:val="en-US" w:eastAsia="zh-CN"/>
        </w:rPr>
        <w:t>货</w:t>
      </w:r>
      <w:r>
        <w:rPr>
          <w:rFonts w:hint="eastAsia" w:ascii="宋体" w:hAnsi="宋体" w:eastAsia="宋体" w:cs="宋体"/>
          <w:color w:val="auto"/>
          <w:sz w:val="21"/>
          <w:szCs w:val="21"/>
          <w:highlight w:val="none"/>
          <w:lang w:val="en-US" w:eastAsia="zh-CN"/>
        </w:rPr>
        <w:t>合格后，供应商应按照采购人要求完成设备安装、调测等工作。若供应商已满足本项目所有供货要求及伴随服务后，供应商可申请组织验收，验收合格后，双方签名确认验收书。</w:t>
      </w:r>
    </w:p>
    <w:p w14:paraId="10690C9B">
      <w:pPr>
        <w:pStyle w:val="5"/>
        <w:spacing w:line="360" w:lineRule="auto"/>
        <w:ind w:left="0" w:leftChars="0" w:firstLine="420" w:firstLineChars="2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供应商供货至现场时须提供包括但不限于以下资料：产品合格证、质保书、产品使用及安装说明书、检测报告。供应商应按照国家有关法律、法规、规章、规范、“三包”规定和买卖双方约定的服务承诺提供服务。因供应商行使产品保修服务义务所产生的一切费用由供应商自行承担。</w:t>
      </w:r>
      <w:bookmarkStart w:id="1" w:name="_GoBack"/>
      <w:bookmarkEnd w:id="1"/>
    </w:p>
    <w:p w14:paraId="75EDDC9E">
      <w:pPr>
        <w:widowControl/>
        <w:snapToGrid w:val="0"/>
        <w:spacing w:line="500" w:lineRule="exact"/>
        <w:ind w:firstLine="630" w:firstLineChars="300"/>
        <w:rPr>
          <w:rFonts w:hint="eastAsia" w:ascii="宋体" w:hAnsi="宋体" w:cs="宋体"/>
          <w:color w:val="000000" w:themeColor="text1"/>
          <w:kern w:val="0"/>
          <w:szCs w:val="21"/>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D1580"/>
    <w:rsid w:val="012F7DE1"/>
    <w:rsid w:val="022B4605"/>
    <w:rsid w:val="032C133D"/>
    <w:rsid w:val="046F0741"/>
    <w:rsid w:val="04C11A36"/>
    <w:rsid w:val="077225CA"/>
    <w:rsid w:val="08E14C87"/>
    <w:rsid w:val="09595ECA"/>
    <w:rsid w:val="0C5302F4"/>
    <w:rsid w:val="0E4C3D34"/>
    <w:rsid w:val="14AF7E3E"/>
    <w:rsid w:val="167D7A8F"/>
    <w:rsid w:val="16A768EE"/>
    <w:rsid w:val="16CA2879"/>
    <w:rsid w:val="18AC735C"/>
    <w:rsid w:val="19D460B4"/>
    <w:rsid w:val="1AE31FB1"/>
    <w:rsid w:val="1C6F57FD"/>
    <w:rsid w:val="1DDA67DC"/>
    <w:rsid w:val="20F800D5"/>
    <w:rsid w:val="2165654C"/>
    <w:rsid w:val="217E2916"/>
    <w:rsid w:val="21BA2713"/>
    <w:rsid w:val="229E75EF"/>
    <w:rsid w:val="23001437"/>
    <w:rsid w:val="2383244E"/>
    <w:rsid w:val="248A28F6"/>
    <w:rsid w:val="25AB6D16"/>
    <w:rsid w:val="26012649"/>
    <w:rsid w:val="294A30C6"/>
    <w:rsid w:val="29D0222B"/>
    <w:rsid w:val="2A0B0A59"/>
    <w:rsid w:val="2AD7341A"/>
    <w:rsid w:val="30CB71E3"/>
    <w:rsid w:val="31980F37"/>
    <w:rsid w:val="32771C24"/>
    <w:rsid w:val="38042FDA"/>
    <w:rsid w:val="39040FCC"/>
    <w:rsid w:val="39A11954"/>
    <w:rsid w:val="39D168F7"/>
    <w:rsid w:val="3A197D7F"/>
    <w:rsid w:val="3A723E45"/>
    <w:rsid w:val="3C551654"/>
    <w:rsid w:val="3FFD6357"/>
    <w:rsid w:val="406C6A1A"/>
    <w:rsid w:val="408676AE"/>
    <w:rsid w:val="41D4668F"/>
    <w:rsid w:val="46ED78E8"/>
    <w:rsid w:val="470D4579"/>
    <w:rsid w:val="488A3050"/>
    <w:rsid w:val="48D12A65"/>
    <w:rsid w:val="49F222FC"/>
    <w:rsid w:val="4A6D1F6A"/>
    <w:rsid w:val="4B86013F"/>
    <w:rsid w:val="4BE16314"/>
    <w:rsid w:val="4BF9042F"/>
    <w:rsid w:val="4EA17C8F"/>
    <w:rsid w:val="4F74239C"/>
    <w:rsid w:val="50C23D07"/>
    <w:rsid w:val="51844B18"/>
    <w:rsid w:val="5308373B"/>
    <w:rsid w:val="53E7163F"/>
    <w:rsid w:val="54A54ECD"/>
    <w:rsid w:val="577011B2"/>
    <w:rsid w:val="58892D72"/>
    <w:rsid w:val="58A42861"/>
    <w:rsid w:val="5A7B23C7"/>
    <w:rsid w:val="5C3D0FC7"/>
    <w:rsid w:val="5CF728BA"/>
    <w:rsid w:val="5FED1580"/>
    <w:rsid w:val="604A1598"/>
    <w:rsid w:val="61A87044"/>
    <w:rsid w:val="62372EFA"/>
    <w:rsid w:val="630E06E5"/>
    <w:rsid w:val="66150632"/>
    <w:rsid w:val="6695034D"/>
    <w:rsid w:val="686422A5"/>
    <w:rsid w:val="68F6059A"/>
    <w:rsid w:val="69EA37A4"/>
    <w:rsid w:val="6A061712"/>
    <w:rsid w:val="6A59721F"/>
    <w:rsid w:val="6A6460E9"/>
    <w:rsid w:val="6BF50D8B"/>
    <w:rsid w:val="6CEA7F79"/>
    <w:rsid w:val="6D653AB8"/>
    <w:rsid w:val="714158BE"/>
    <w:rsid w:val="731D7A00"/>
    <w:rsid w:val="73417B9C"/>
    <w:rsid w:val="73CD7126"/>
    <w:rsid w:val="73DA0835"/>
    <w:rsid w:val="75166F20"/>
    <w:rsid w:val="761B517A"/>
    <w:rsid w:val="7DF06F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w:basedOn w:val="1"/>
    <w:qFormat/>
    <w:uiPriority w:val="0"/>
    <w:pPr>
      <w:ind w:firstLine="570"/>
    </w:pPr>
    <w:rPr>
      <w:rFonts w:hint="eastAsia" w:ascii="宋体" w:hAnsi="宋体"/>
      <w:sz w:val="28"/>
      <w:szCs w:val="20"/>
    </w:rPr>
  </w:style>
  <w:style w:type="paragraph" w:styleId="4">
    <w:name w:val="Normal (Web)"/>
    <w:basedOn w:val="1"/>
    <w:qFormat/>
    <w:uiPriority w:val="0"/>
    <w:rPr>
      <w:sz w:val="24"/>
    </w:rPr>
  </w:style>
  <w:style w:type="paragraph" w:styleId="5">
    <w:name w:val="Body Text First Indent 2"/>
    <w:basedOn w:val="3"/>
    <w:qFormat/>
    <w:uiPriority w:val="0"/>
    <w:pPr>
      <w:ind w:firstLine="420" w:firstLineChars="200"/>
    </w:pPr>
  </w:style>
  <w:style w:type="table" w:styleId="7">
    <w:name w:val="Table Grid"/>
    <w:basedOn w:val="6"/>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2526</Words>
  <Characters>2816</Characters>
  <Lines>0</Lines>
  <Paragraphs>0</Paragraphs>
  <TotalTime>44</TotalTime>
  <ScaleCrop>false</ScaleCrop>
  <LinksUpToDate>false</LinksUpToDate>
  <CharactersWithSpaces>2816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2024-12-16T09:10:00Z</dcterms:created>
  <dc:creator>白爺</dc:creator>
  <cp:lastModifiedBy>赵敏</cp:lastModifiedBy>
  <dcterms:modified xsi:type="dcterms:W3CDTF">2025-05-12T09:27:06Z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DD11E74A6A8643B090249CF9B3A32DFB_13</vt:lpwstr>
  </property>
  <property fmtid="{D5CDD505-2E9C-101B-9397-08002B2CF9AE}" pid="4" name="KSOTemplateDocerSaveRecord">
    <vt:lpwstr>eyJoZGlkIjoiZDdiZDM3NWJlMmIxMmFkODg1ZTllOTIyOTQ1ZTg2YzEiLCJ1c2VySWQiOiI3MzAzNTgyNTIifQ==</vt:lpwstr>
  </property>
</Properties>
</file>