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CF90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17" w:lineRule="atLeast"/>
        <w:ind w:left="0" w:right="0" w:firstLine="0"/>
        <w:rPr>
          <w:rFonts w:ascii="Microsoft YaHei UI" w:hAnsi="Microsoft YaHei UI" w:eastAsia="Microsoft YaHei UI" w:cs="Microsoft YaHei UI"/>
          <w:b/>
          <w:bCs/>
          <w:i w:val="0"/>
          <w:iCs w:val="0"/>
          <w:caps w:val="0"/>
          <w:spacing w:val="7"/>
          <w:sz w:val="26"/>
          <w:szCs w:val="26"/>
        </w:rPr>
      </w:pPr>
      <w:r>
        <w:rPr>
          <w:rFonts w:hint="eastAsia" w:ascii="Microsoft YaHei UI" w:hAnsi="Microsoft YaHei UI" w:eastAsia="Microsoft YaHei UI" w:cs="Microsoft YaHei UI"/>
          <w:b/>
          <w:bCs/>
          <w:i w:val="0"/>
          <w:iCs w:val="0"/>
          <w:caps w:val="0"/>
          <w:spacing w:val="7"/>
          <w:sz w:val="26"/>
          <w:szCs w:val="26"/>
          <w:bdr w:val="none" w:color="auto" w:sz="0" w:space="0"/>
          <w:shd w:val="clear" w:fill="FFFFFF"/>
        </w:rPr>
        <w:t>广州将实施16批医疗服务价格项目立项指南</w:t>
      </w:r>
    </w:p>
    <w:p w14:paraId="587C616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64" w:afterAutospacing="0" w:line="240" w:lineRule="atLeast"/>
        <w:ind w:left="0" w:right="0" w:firstLine="0"/>
        <w:jc w:val="left"/>
        <w:rPr>
          <w:rFonts w:hint="eastAsia" w:ascii="Microsoft YaHei UI" w:hAnsi="Microsoft YaHei UI" w:eastAsia="Microsoft YaHei UI" w:cs="Microsoft YaHei UI"/>
          <w:i w:val="0"/>
          <w:iCs w:val="0"/>
          <w:caps w:val="0"/>
          <w:spacing w:val="7"/>
        </w:rPr>
      </w:pPr>
      <w:r>
        <w:rPr>
          <w:rFonts w:hint="eastAsia" w:ascii="Microsoft YaHei UI" w:hAnsi="Microsoft YaHei UI" w:eastAsia="Microsoft YaHei UI" w:cs="Microsoft YaHei UI"/>
          <w:i w:val="0"/>
          <w:iCs w:val="0"/>
          <w:caps w:val="0"/>
          <w:spacing w:val="7"/>
          <w:kern w:val="0"/>
          <w:sz w:val="18"/>
          <w:szCs w:val="18"/>
          <w:u w:val="none"/>
          <w:bdr w:val="none" w:color="auto" w:sz="0" w:space="0"/>
          <w:shd w:val="clear" w:fill="FFFFFF"/>
          <w:lang w:val="en-US" w:eastAsia="zh-CN" w:bidi="ar"/>
        </w:rPr>
        <w:fldChar w:fldCharType="begin"/>
      </w:r>
      <w:r>
        <w:rPr>
          <w:rFonts w:hint="eastAsia" w:ascii="Microsoft YaHei UI" w:hAnsi="Microsoft YaHei UI" w:eastAsia="Microsoft YaHei UI" w:cs="Microsoft YaHei UI"/>
          <w:i w:val="0"/>
          <w:iCs w:val="0"/>
          <w:caps w:val="0"/>
          <w:spacing w:val="7"/>
          <w:kern w:val="0"/>
          <w:sz w:val="18"/>
          <w:szCs w:val="18"/>
          <w:u w:val="none"/>
          <w:bdr w:val="none" w:color="auto" w:sz="0" w:space="0"/>
          <w:shd w:val="clear" w:fill="FFFFFF"/>
          <w:lang w:val="en-US" w:eastAsia="zh-CN" w:bidi="ar"/>
        </w:rPr>
        <w:instrText xml:space="preserve"> HYPERLINK "javascript:void(0);" </w:instrText>
      </w:r>
      <w:r>
        <w:rPr>
          <w:rFonts w:hint="eastAsia" w:ascii="Microsoft YaHei UI" w:hAnsi="Microsoft YaHei UI" w:eastAsia="Microsoft YaHei UI" w:cs="Microsoft YaHei UI"/>
          <w:i w:val="0"/>
          <w:iCs w:val="0"/>
          <w:caps w:val="0"/>
          <w:spacing w:val="7"/>
          <w:kern w:val="0"/>
          <w:sz w:val="18"/>
          <w:szCs w:val="18"/>
          <w:u w:val="none"/>
          <w:bdr w:val="none" w:color="auto" w:sz="0" w:space="0"/>
          <w:shd w:val="clear" w:fill="FFFFFF"/>
          <w:lang w:val="en-US" w:eastAsia="zh-CN" w:bidi="ar"/>
        </w:rPr>
        <w:fldChar w:fldCharType="separate"/>
      </w:r>
      <w:r>
        <w:rPr>
          <w:rStyle w:val="8"/>
          <w:rFonts w:hint="eastAsia" w:ascii="Microsoft YaHei UI" w:hAnsi="Microsoft YaHei UI" w:eastAsia="Microsoft YaHei UI" w:cs="Microsoft YaHei UI"/>
          <w:i w:val="0"/>
          <w:iCs w:val="0"/>
          <w:caps w:val="0"/>
          <w:spacing w:val="7"/>
          <w:sz w:val="18"/>
          <w:szCs w:val="18"/>
          <w:u w:val="none"/>
          <w:bdr w:val="none" w:color="auto" w:sz="0" w:space="0"/>
          <w:shd w:val="clear" w:fill="FFFFFF"/>
        </w:rPr>
        <w:t>广州医保</w:t>
      </w:r>
      <w:r>
        <w:rPr>
          <w:rFonts w:hint="eastAsia" w:ascii="Microsoft YaHei UI" w:hAnsi="Microsoft YaHei UI" w:eastAsia="Microsoft YaHei UI" w:cs="Microsoft YaHei UI"/>
          <w:i w:val="0"/>
          <w:iCs w:val="0"/>
          <w:caps w:val="0"/>
          <w:spacing w:val="7"/>
          <w:kern w:val="0"/>
          <w:sz w:val="18"/>
          <w:szCs w:val="18"/>
          <w:u w:val="none"/>
          <w:bdr w:val="none" w:color="auto" w:sz="0" w:space="0"/>
          <w:shd w:val="clear" w:fill="FFFFFF"/>
          <w:lang w:val="en-US" w:eastAsia="zh-CN" w:bidi="ar"/>
        </w:rPr>
        <w:fldChar w:fldCharType="end"/>
      </w:r>
      <w:r>
        <w:rPr>
          <w:rFonts w:hint="eastAsia" w:ascii="Microsoft YaHei UI" w:hAnsi="Microsoft YaHei UI" w:eastAsia="Microsoft YaHei UI" w:cs="Microsoft YaHei UI"/>
          <w:i w:val="0"/>
          <w:iCs w:val="0"/>
          <w:caps w:val="0"/>
          <w:spacing w:val="7"/>
          <w:kern w:val="0"/>
          <w:sz w:val="0"/>
          <w:szCs w:val="0"/>
          <w:bdr w:val="none" w:color="auto" w:sz="0" w:space="0"/>
          <w:shd w:val="clear" w:fill="FFFFFF"/>
          <w:lang w:val="en-US" w:eastAsia="zh-CN" w:bidi="ar"/>
        </w:rPr>
        <w:t> </w:t>
      </w:r>
      <w:r>
        <w:rPr>
          <w:rStyle w:val="7"/>
          <w:rFonts w:hint="eastAsia" w:ascii="Microsoft YaHei UI" w:hAnsi="Microsoft YaHei UI" w:eastAsia="Microsoft YaHei UI" w:cs="Microsoft YaHei UI"/>
          <w:i w:val="0"/>
          <w:iCs w:val="0"/>
          <w:caps w:val="0"/>
          <w:spacing w:val="7"/>
          <w:kern w:val="0"/>
          <w:sz w:val="18"/>
          <w:szCs w:val="18"/>
          <w:bdr w:val="none" w:color="auto" w:sz="0" w:space="0"/>
          <w:shd w:val="clear" w:fill="FFFFFF"/>
          <w:lang w:val="en-US" w:eastAsia="zh-CN" w:bidi="ar"/>
        </w:rPr>
        <w:t>2026年3月28日 08:04</w:t>
      </w:r>
      <w:r>
        <w:rPr>
          <w:rFonts w:hint="eastAsia" w:ascii="Microsoft YaHei UI" w:hAnsi="Microsoft YaHei UI" w:eastAsia="Microsoft YaHei UI" w:cs="Microsoft YaHei UI"/>
          <w:i w:val="0"/>
          <w:iCs w:val="0"/>
          <w:caps w:val="0"/>
          <w:spacing w:val="7"/>
          <w:kern w:val="0"/>
          <w:sz w:val="0"/>
          <w:szCs w:val="0"/>
          <w:bdr w:val="none" w:color="auto" w:sz="0" w:space="0"/>
          <w:shd w:val="clear" w:fill="FFFFFF"/>
          <w:lang w:val="en-US" w:eastAsia="zh-CN" w:bidi="ar"/>
        </w:rPr>
        <w:t> </w:t>
      </w:r>
      <w:r>
        <w:rPr>
          <w:rStyle w:val="7"/>
          <w:rFonts w:hint="eastAsia" w:ascii="Microsoft YaHei UI" w:hAnsi="Microsoft YaHei UI" w:eastAsia="Microsoft YaHei UI" w:cs="Microsoft YaHei UI"/>
          <w:i w:val="0"/>
          <w:iCs w:val="0"/>
          <w:caps w:val="0"/>
          <w:spacing w:val="7"/>
          <w:kern w:val="0"/>
          <w:sz w:val="18"/>
          <w:szCs w:val="18"/>
          <w:bdr w:val="none" w:color="auto" w:sz="0" w:space="0"/>
          <w:shd w:val="clear" w:fill="FFFFFF"/>
          <w:lang w:val="en-US" w:eastAsia="zh-CN" w:bidi="ar"/>
        </w:rPr>
        <w:t>广东</w:t>
      </w:r>
    </w:p>
    <w:p w14:paraId="741B692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Microsoft YaHei UI" w:hAnsi="Microsoft YaHei UI" w:eastAsia="Microsoft YaHei UI" w:cs="Microsoft YaHei UI"/>
          <w:i w:val="0"/>
          <w:iCs w:val="0"/>
          <w:caps w:val="0"/>
          <w:spacing w:val="7"/>
          <w:bdr w:val="none" w:color="auto" w:sz="0" w:space="0"/>
          <w:shd w:val="clear" w:fill="FFFFFF"/>
        </w:rPr>
        <w:t>为持续深化医疗服务价格改革，根据国家和省的统一部署，广州市将于2026年3月30日、6月30日分两批推进16批医疗服务价格项目立项指南（简称“立项指南”）落地，实施范围覆盖广州地区所有公立医疗机构。立项指南落地践行“结构优化，有升有降”思路，大幅降低检查、检验等设备依赖度高、物耗成本占比高的项目价格，适度调升手术类、诊查类等人力成本占比高、直接体现医务人员技术劳务价值的项目价格，并联动卫生健康部门推出“一号管三天”“便民门诊”等配套措施，满足群众多元就医需求。</w:t>
      </w:r>
    </w:p>
    <w:p w14:paraId="4F24562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274CD04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120FD4E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Style w:val="6"/>
          <w:rFonts w:hint="eastAsia" w:ascii="Microsoft YaHei UI" w:hAnsi="Microsoft YaHei UI" w:eastAsia="Microsoft YaHei UI" w:cs="Microsoft YaHei UI"/>
          <w:i w:val="0"/>
          <w:iCs w:val="0"/>
          <w:caps w:val="0"/>
          <w:spacing w:val="7"/>
          <w:bdr w:val="none" w:color="auto" w:sz="0" w:space="0"/>
          <w:shd w:val="clear" w:fill="FFFFFF"/>
        </w:rPr>
        <w:t>已落地14批立项指南，</w:t>
      </w:r>
    </w:p>
    <w:p w14:paraId="37721BA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Style w:val="6"/>
          <w:rFonts w:hint="eastAsia" w:ascii="Microsoft YaHei UI" w:hAnsi="Microsoft YaHei UI" w:eastAsia="Microsoft YaHei UI" w:cs="Microsoft YaHei UI"/>
          <w:i w:val="0"/>
          <w:iCs w:val="0"/>
          <w:caps w:val="0"/>
          <w:spacing w:val="7"/>
          <w:bdr w:val="none" w:color="auto" w:sz="0" w:space="0"/>
          <w:shd w:val="clear" w:fill="FFFFFF"/>
        </w:rPr>
        <w:t>最大降幅近90%</w:t>
      </w:r>
    </w:p>
    <w:p w14:paraId="46FB58C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56305FC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Microsoft YaHei UI" w:hAnsi="Microsoft YaHei UI" w:eastAsia="Microsoft YaHei UI" w:cs="Microsoft YaHei UI"/>
          <w:i w:val="0"/>
          <w:iCs w:val="0"/>
          <w:caps w:val="0"/>
          <w:spacing w:val="7"/>
          <w:bdr w:val="none" w:color="auto" w:sz="0" w:space="0"/>
          <w:shd w:val="clear" w:fill="FFFFFF"/>
        </w:rPr>
        <w:t>“十四五”以来，国家医保局将统一规范价格项目作为深化医疗保障制度改革的重要任务，持续编制印发立项指南。通过明确项目服务产出标准、统一价格构成要素、规范项目名称与统一医保编码，着力打通地区间项目差异壁垒，推动形成全国统一、科学规范的医疗服务价格项目体系，截至目前国家已发布39批立项指南。</w:t>
      </w:r>
    </w:p>
    <w:p w14:paraId="1716B0A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1E57A60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Microsoft YaHei UI" w:hAnsi="Microsoft YaHei UI" w:eastAsia="Microsoft YaHei UI" w:cs="Microsoft YaHei UI"/>
          <w:i w:val="0"/>
          <w:iCs w:val="0"/>
          <w:caps w:val="0"/>
          <w:spacing w:val="7"/>
          <w:bdr w:val="none" w:color="auto" w:sz="0" w:space="0"/>
          <w:shd w:val="clear" w:fill="FFFFFF"/>
        </w:rPr>
        <w:t>按照国家和省的统一部署，广州自2024年起加快推进立项指南落地实施，目前已落地14批，并同步开展6批次医疗服务价格规范治理与项目修订。通过系统推进改革和规范治理，实现了医疗服务价格项目管理的“统一化、透明化”，有效消除收费模糊地带，让群众就医缴费更加清楚明白。</w:t>
      </w:r>
    </w:p>
    <w:p w14:paraId="0642018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16E3F4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Microsoft YaHei UI" w:hAnsi="Microsoft YaHei UI" w:eastAsia="Microsoft YaHei UI" w:cs="Microsoft YaHei UI"/>
          <w:i w:val="0"/>
          <w:iCs w:val="0"/>
          <w:caps w:val="0"/>
          <w:spacing w:val="7"/>
          <w:bdr w:val="none" w:color="auto" w:sz="0" w:space="0"/>
          <w:shd w:val="clear" w:fill="FFFFFF"/>
        </w:rPr>
        <w:t>在落地立项指南的过程中，坚持“结构优化，有升有降”，持续调低设备依赖度高、物耗占比高的项目价格，同步调升体现医务人员技术劳务价值的手术类、护理类、中医类项目价格。前期落地的14批立项指南及6批次价格治理修订，各类检查检验类项目降价幅度较大，其中，肿瘤科、普外科等常用的“植入式给药装置取出术”，单价从975元降至100元，降幅最大，已近90%；孕妇产检时常做的唐氏综合征基因筛查检测项目“胎儿染色体非整倍体无创产前基因检测”，从1,568.6元降至560元，单次降价超1,000元，群众就医负担进一步减轻。</w:t>
      </w:r>
    </w:p>
    <w:p w14:paraId="14E25DC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6B33C58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Microsoft YaHei UI" w:hAnsi="Microsoft YaHei UI" w:eastAsia="Microsoft YaHei UI" w:cs="Microsoft YaHei UI"/>
          <w:i w:val="0"/>
          <w:iCs w:val="0"/>
          <w:caps w:val="0"/>
          <w:spacing w:val="7"/>
          <w:bdr w:val="none" w:color="auto" w:sz="0" w:space="0"/>
          <w:shd w:val="clear" w:fill="FFFFFF"/>
        </w:rPr>
        <w:t>同时，聚焦临床需求，逐步将新技术、新服务纳入价格项目体系，如新增“免陪照护服务”“侵入式脑机接口置入费”等新医疗服务价格项目，更好地满足群众在照护服务、高端医疗技术应用等方面的个性化就医需求。</w:t>
      </w:r>
    </w:p>
    <w:p w14:paraId="27FDC1F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5BEE17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6322BFC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Style w:val="6"/>
          <w:rFonts w:hint="eastAsia" w:ascii="Microsoft YaHei UI" w:hAnsi="Microsoft YaHei UI" w:eastAsia="Microsoft YaHei UI" w:cs="Microsoft YaHei UI"/>
          <w:i w:val="0"/>
          <w:iCs w:val="0"/>
          <w:caps w:val="0"/>
          <w:spacing w:val="7"/>
          <w:bdr w:val="none" w:color="auto" w:sz="0" w:space="0"/>
          <w:shd w:val="clear" w:fill="FFFFFF"/>
        </w:rPr>
        <w:t>近期将落地16批立项指南，</w:t>
      </w:r>
    </w:p>
    <w:p w14:paraId="004976E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Style w:val="6"/>
          <w:rFonts w:hint="eastAsia" w:ascii="Microsoft YaHei UI" w:hAnsi="Microsoft YaHei UI" w:eastAsia="Microsoft YaHei UI" w:cs="Microsoft YaHei UI"/>
          <w:i w:val="0"/>
          <w:iCs w:val="0"/>
          <w:caps w:val="0"/>
          <w:spacing w:val="7"/>
          <w:bdr w:val="none" w:color="auto" w:sz="0" w:space="0"/>
          <w:shd w:val="clear" w:fill="FFFFFF"/>
        </w:rPr>
        <w:t>医保报销同步增加</w:t>
      </w:r>
    </w:p>
    <w:p w14:paraId="4150C9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2716193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Microsoft YaHei UI" w:hAnsi="Microsoft YaHei UI" w:eastAsia="Microsoft YaHei UI" w:cs="Microsoft YaHei UI"/>
          <w:i w:val="0"/>
          <w:iCs w:val="0"/>
          <w:caps w:val="0"/>
          <w:spacing w:val="7"/>
          <w:bdr w:val="none" w:color="auto" w:sz="0" w:space="0"/>
          <w:shd w:val="clear" w:fill="FFFFFF"/>
        </w:rPr>
        <w:t>本次落地的16批立项指南，为国家统一部署的重点任务，均由省统一制定全省最高限价，涵盖综合诊查、放射治疗、麻醉、妇科、康复等16大类医疗服务项目，涉及项目数超2,000项，约占全市现行医疗服务项目总量的三分之一。其中综合诊查、放射治疗、心血管系统、妇科、器官移植等5类价格项目自2026年3月30日起执行；麻醉、神经系统、耳鼻喉、口腔、呼吸系统、血液系统、消化系统、泌尿系统、精神治疗、疝甲乳和康复等11类价格项目自2026年6月30日起执行。因本次立项指南落地涉及项目较多，群众如需查询具体价格信息，可登录医保部门的官方网站查询了解，也可通过各级医疗机构的价格公示渠道（微信公众号、电子显示屏、公示栏、费用明细清单等）查询了解。</w:t>
      </w:r>
    </w:p>
    <w:p w14:paraId="798913F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354C31C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Microsoft YaHei UI" w:hAnsi="Microsoft YaHei UI" w:eastAsia="Microsoft YaHei UI" w:cs="Microsoft YaHei UI"/>
          <w:i w:val="0"/>
          <w:iCs w:val="0"/>
          <w:caps w:val="0"/>
          <w:spacing w:val="7"/>
          <w:bdr w:val="none" w:color="auto" w:sz="0" w:space="0"/>
          <w:shd w:val="clear" w:fill="FFFFFF"/>
        </w:rPr>
        <w:t>其中，让市民最关注的门诊诊查费项目（俗称的“挂号费”），在本次立项指南落地中进行了细分优化，除基层医疗卫生机构以外的公立医疗机构普通门诊诊查费将有一定程度的调升，但医保同步增加了报销金额。如在三级医院西医门诊就医，按照退休职工70%、在职职工65%，未成年人及在校学生50~55%的报销比例。经报销后，个人支付诊查费金额从3~4元/次，增加到7.5~16.25元/次。基层医疗卫生机构的一般诊疗费仍保持10元/次，本次不作调整。</w:t>
      </w:r>
    </w:p>
    <w:p w14:paraId="5F5D2B5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517D209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Microsoft YaHei UI" w:hAnsi="Microsoft YaHei UI" w:eastAsia="Microsoft YaHei UI" w:cs="Microsoft YaHei UI"/>
          <w:i w:val="0"/>
          <w:iCs w:val="0"/>
          <w:caps w:val="0"/>
          <w:spacing w:val="7"/>
          <w:bdr w:val="none" w:color="auto" w:sz="0" w:space="0"/>
          <w:shd w:val="clear" w:fill="FFFFFF"/>
        </w:rPr>
        <w:t>本次立项指南落地，还新增了700余项新型价格项目，实现“三大突破”：一是填补历史空白，将安宁疗护、药学服务、护理门诊等纳入价格体系，完善全生命周期医疗服务覆盖；二是补强薄弱领域，针对性完善便民门诊、儿科、老年医学等服务项目，回应特殊群体需求；三是紧跟技术前沿，布局微创治疗、精准医疗等新型诊疗项目，新增质子重离子放疗等高端医疗服务。</w:t>
      </w:r>
    </w:p>
    <w:p w14:paraId="1014D0B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7AD7AE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2ACD22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Style w:val="6"/>
          <w:rFonts w:hint="eastAsia" w:ascii="Microsoft YaHei UI" w:hAnsi="Microsoft YaHei UI" w:eastAsia="Microsoft YaHei UI" w:cs="Microsoft YaHei UI"/>
          <w:i w:val="0"/>
          <w:iCs w:val="0"/>
          <w:caps w:val="0"/>
          <w:spacing w:val="7"/>
          <w:bdr w:val="none" w:color="auto" w:sz="0" w:space="0"/>
          <w:shd w:val="clear" w:fill="FFFFFF"/>
        </w:rPr>
        <w:t>联动推出配套措施，</w:t>
      </w:r>
    </w:p>
    <w:p w14:paraId="74FD5AD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Style w:val="6"/>
          <w:rFonts w:hint="eastAsia" w:ascii="Microsoft YaHei UI" w:hAnsi="Microsoft YaHei UI" w:eastAsia="Microsoft YaHei UI" w:cs="Microsoft YaHei UI"/>
          <w:i w:val="0"/>
          <w:iCs w:val="0"/>
          <w:caps w:val="0"/>
          <w:spacing w:val="7"/>
          <w:bdr w:val="none" w:color="auto" w:sz="0" w:space="0"/>
          <w:shd w:val="clear" w:fill="FFFFFF"/>
        </w:rPr>
        <w:t>保障群众多元就医需求</w:t>
      </w:r>
    </w:p>
    <w:p w14:paraId="15134A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09D981E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Microsoft YaHei UI" w:hAnsi="Microsoft YaHei UI" w:eastAsia="Microsoft YaHei UI" w:cs="Microsoft YaHei UI"/>
          <w:i w:val="0"/>
          <w:iCs w:val="0"/>
          <w:caps w:val="0"/>
          <w:spacing w:val="7"/>
          <w:bdr w:val="none" w:color="auto" w:sz="0" w:space="0"/>
          <w:shd w:val="clear" w:fill="FFFFFF"/>
        </w:rPr>
        <w:t>为配合立项指南政策落地，在前期政策基础上，广州市卫生健康部门联动推出系列配套措施：</w:t>
      </w:r>
    </w:p>
    <w:p w14:paraId="10A0889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5834D02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Style w:val="6"/>
          <w:rFonts w:hint="eastAsia" w:ascii="Microsoft YaHei UI" w:hAnsi="Microsoft YaHei UI" w:eastAsia="Microsoft YaHei UI" w:cs="Microsoft YaHei UI"/>
          <w:i w:val="0"/>
          <w:iCs w:val="0"/>
          <w:caps w:val="0"/>
          <w:spacing w:val="7"/>
          <w:bdr w:val="none" w:color="auto" w:sz="0" w:space="0"/>
          <w:shd w:val="clear" w:fill="FFFFFF"/>
        </w:rPr>
        <w:t>基层收费稳定，分级诊疗惠民。</w:t>
      </w:r>
      <w:r>
        <w:rPr>
          <w:rFonts w:hint="eastAsia" w:ascii="Microsoft YaHei UI" w:hAnsi="Microsoft YaHei UI" w:eastAsia="Microsoft YaHei UI" w:cs="Microsoft YaHei UI"/>
          <w:i w:val="0"/>
          <w:iCs w:val="0"/>
          <w:caps w:val="0"/>
          <w:spacing w:val="7"/>
          <w:bdr w:val="none" w:color="auto" w:sz="0" w:space="0"/>
          <w:shd w:val="clear" w:fill="FFFFFF"/>
        </w:rPr>
        <w:t>基层医疗卫生机构基本形成了整合预防、筛查、诊疗、康复、随访等全流程的慢性病管理模式，能提供优质的高血压、糖尿病等慢性病健康管理服务，且一般诊疗费仍保持10元/次。广州市还有多项针对基层的便民举措，如65岁及以上老年人可每年免费健康体检；签约家庭医生可享受健康教育和咨询等免费服务，一类门特病种外配处方流转让参保群众凭基层处方到定点药店购药，无论是国产药还是进口药，都能享受医保报销。</w:t>
      </w:r>
    </w:p>
    <w:p w14:paraId="111DABF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2EAB82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Style w:val="6"/>
          <w:rFonts w:hint="eastAsia" w:ascii="Microsoft YaHei UI" w:hAnsi="Microsoft YaHei UI" w:eastAsia="Microsoft YaHei UI" w:cs="Microsoft YaHei UI"/>
          <w:i w:val="0"/>
          <w:iCs w:val="0"/>
          <w:caps w:val="0"/>
          <w:spacing w:val="7"/>
          <w:bdr w:val="none" w:color="auto" w:sz="0" w:space="0"/>
          <w:shd w:val="clear" w:fill="FFFFFF"/>
        </w:rPr>
        <w:t>“一号管三天”，续诊不花钱。</w:t>
      </w:r>
      <w:r>
        <w:rPr>
          <w:rFonts w:hint="eastAsia" w:ascii="Microsoft YaHei UI" w:hAnsi="Microsoft YaHei UI" w:eastAsia="Microsoft YaHei UI" w:cs="Microsoft YaHei UI"/>
          <w:i w:val="0"/>
          <w:iCs w:val="0"/>
          <w:caps w:val="0"/>
          <w:spacing w:val="7"/>
          <w:bdr w:val="none" w:color="auto" w:sz="0" w:space="0"/>
          <w:shd w:val="clear" w:fill="FFFFFF"/>
        </w:rPr>
        <w:t>实施范围覆盖全市所有公立医疗机构的普通门诊，由于检查项目无法在当天完成或当天出结果导致诊疗中断的患者，在首诊后3天内可以由医生主动免费续诊同一科室，解读检查结果并完成后续诊疗，患者不仅减少一次挂号费，更不用再担心续诊挂不上号。</w:t>
      </w:r>
    </w:p>
    <w:p w14:paraId="301087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57A203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Style w:val="6"/>
          <w:rFonts w:hint="eastAsia" w:ascii="Microsoft YaHei UI" w:hAnsi="Microsoft YaHei UI" w:eastAsia="Microsoft YaHei UI" w:cs="Microsoft YaHei UI"/>
          <w:i w:val="0"/>
          <w:iCs w:val="0"/>
          <w:caps w:val="0"/>
          <w:spacing w:val="7"/>
          <w:bdr w:val="none" w:color="auto" w:sz="0" w:space="0"/>
          <w:shd w:val="clear" w:fill="FFFFFF"/>
        </w:rPr>
        <w:t>增设便民门诊，慢病患者省心。</w:t>
      </w:r>
      <w:r>
        <w:rPr>
          <w:rFonts w:hint="eastAsia" w:ascii="Microsoft YaHei UI" w:hAnsi="Microsoft YaHei UI" w:eastAsia="Microsoft YaHei UI" w:cs="Microsoft YaHei UI"/>
          <w:i w:val="0"/>
          <w:iCs w:val="0"/>
          <w:caps w:val="0"/>
          <w:spacing w:val="7"/>
          <w:bdr w:val="none" w:color="auto" w:sz="0" w:space="0"/>
          <w:shd w:val="clear" w:fill="FFFFFF"/>
        </w:rPr>
        <w:t>针对高血压、糖尿病等需要长期开药的慢性病患者，各一级以上公立医疗机构将开设便民门诊，病情稳定、单纯复诊开药的患者，“挂号费”仅需1.1元并纳入医保报销，费用更低、就诊更便捷，不用去挤专家号。</w:t>
      </w:r>
    </w:p>
    <w:p w14:paraId="04C82C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2A82251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Microsoft YaHei UI" w:hAnsi="Microsoft YaHei UI" w:eastAsia="Microsoft YaHei UI" w:cs="Microsoft YaHei UI"/>
          <w:i w:val="0"/>
          <w:iCs w:val="0"/>
          <w:caps w:val="0"/>
          <w:spacing w:val="7"/>
          <w:bdr w:val="none" w:color="auto" w:sz="0" w:space="0"/>
          <w:shd w:val="clear" w:fill="FFFFFF"/>
        </w:rPr>
        <w:t>本次调整对困难群众就医影响不大，经基本医保、大病保险等支付后剩余的诊查费、床位费均已纳入医疗救助保障范围。以符合普通门诊救助条件的救助对象为例，本次调整后，三级医院西医门诊就医的诊查费由13元增至25元，经医保报销后，剩余费用全部纳入医疗救助支付范围，并在季度限额内予以100%报销。</w:t>
      </w:r>
    </w:p>
    <w:p w14:paraId="3009E7D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30BE5D5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Fonts w:hint="eastAsia" w:ascii="Microsoft YaHei UI" w:hAnsi="Microsoft YaHei UI" w:eastAsia="Microsoft YaHei UI" w:cs="Microsoft YaHei UI"/>
          <w:i w:val="0"/>
          <w:iCs w:val="0"/>
          <w:caps w:val="0"/>
          <w:spacing w:val="7"/>
          <w:bdr w:val="none" w:color="auto" w:sz="0" w:space="0"/>
          <w:shd w:val="clear" w:fill="FFFFFF"/>
        </w:rPr>
        <w:t>接下来广州市将继续推进10批次立项指南落地，其中设备依赖度高、物耗占比高的医疗服务项目价格将进一步下降，改革红利持续释放。</w:t>
      </w:r>
    </w:p>
    <w:p w14:paraId="281B09A5">
      <w:pPr>
        <w:keepNext w:val="0"/>
        <w:keepLines w:val="0"/>
        <w:widowControl/>
        <w:suppressLineNumbers w:val="0"/>
        <w:spacing w:before="0" w:beforeAutospacing="0" w:after="240" w:afterAutospacing="0"/>
        <w:ind w:left="0" w:right="0"/>
        <w:jc w:val="left"/>
        <w:rPr>
          <w:spacing w:val="7"/>
        </w:rPr>
      </w:pPr>
      <w:r>
        <w:rPr>
          <w:rFonts w:hint="eastAsia" w:ascii="Microsoft YaHei UI" w:hAnsi="Microsoft YaHei UI" w:eastAsia="Microsoft YaHei UI" w:cs="Microsoft YaHei UI"/>
          <w:i w:val="0"/>
          <w:iCs w:val="0"/>
          <w:caps w:val="0"/>
          <w:spacing w:val="7"/>
          <w:kern w:val="0"/>
          <w:sz w:val="24"/>
          <w:szCs w:val="24"/>
          <w:bdr w:val="none" w:color="auto" w:sz="0" w:space="0"/>
          <w:shd w:val="clear" w:fill="FFFFFF"/>
          <w:lang w:val="en-US" w:eastAsia="zh-CN" w:bidi="ar"/>
        </w:rPr>
        <w:br w:type="textWrapping"/>
      </w:r>
      <w:bookmarkStart w:id="0" w:name="_GoBack"/>
      <w:bookmarkEnd w:id="0"/>
      <w:r>
        <w:rPr>
          <w:rFonts w:hint="eastAsia" w:ascii="Microsoft YaHei UI" w:hAnsi="Microsoft YaHei UI" w:eastAsia="Microsoft YaHei UI" w:cs="Microsoft YaHei UI"/>
          <w:i w:val="0"/>
          <w:iCs w:val="0"/>
          <w:caps w:val="0"/>
          <w:color w:val="auto"/>
          <w:spacing w:val="7"/>
          <w:u w:val="none"/>
          <w:bdr w:val="none" w:color="auto" w:sz="0" w:space="0"/>
          <w:shd w:val="clear" w:fill="FFFFFF"/>
        </w:rPr>
        <w:drawing>
          <wp:inline distT="0" distB="0" distL="114300" distR="114300">
            <wp:extent cx="304800" cy="304800"/>
            <wp:effectExtent l="0" t="0" r="0" b="0"/>
            <wp:docPr id="9" name="图片 3" descr="IMG_258">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descr="IMG_258"/>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p>
    <w:p w14:paraId="038920F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pacing w:val="7"/>
        </w:rPr>
      </w:pPr>
      <w:r>
        <w:rPr>
          <w:rFonts w:hint="eastAsia" w:ascii="Microsoft YaHei UI" w:hAnsi="Microsoft YaHei UI" w:eastAsia="Microsoft YaHei UI" w:cs="Microsoft YaHei UI"/>
          <w:i w:val="0"/>
          <w:iCs w:val="0"/>
          <w:caps w:val="0"/>
          <w:color w:val="auto"/>
          <w:spacing w:val="7"/>
          <w:u w:val="none"/>
          <w:bdr w:val="none" w:color="auto" w:sz="0" w:space="0"/>
          <w:shd w:val="clear" w:fill="FFFFFF"/>
        </w:rPr>
        <w:drawing>
          <wp:inline distT="0" distB="0" distL="114300" distR="114300">
            <wp:extent cx="304800" cy="304800"/>
            <wp:effectExtent l="0" t="0" r="0" b="0"/>
            <wp:docPr id="5" name="图片 4" descr="IMG_259">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IMG_259"/>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p>
    <w:p w14:paraId="02C8AE0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pacing w:val="7"/>
        </w:rPr>
      </w:pPr>
      <w:r>
        <w:rPr>
          <w:rFonts w:hint="eastAsia" w:ascii="Microsoft YaHei UI" w:hAnsi="Microsoft YaHei UI" w:eastAsia="Microsoft YaHei UI" w:cs="Microsoft YaHei UI"/>
          <w:i w:val="0"/>
          <w:iCs w:val="0"/>
          <w:caps w:val="0"/>
          <w:spacing w:val="7"/>
          <w:sz w:val="19"/>
          <w:szCs w:val="19"/>
          <w:bdr w:val="none" w:color="auto" w:sz="0" w:space="0"/>
          <w:shd w:val="clear" w:fill="FFFFFF"/>
        </w:rPr>
        <w:drawing>
          <wp:inline distT="0" distB="0" distL="114300" distR="114300">
            <wp:extent cx="304800" cy="304800"/>
            <wp:effectExtent l="0" t="0" r="0" b="0"/>
            <wp:docPr id="6"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descr="IMG_263"/>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p>
    <w:p w14:paraId="12C993D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pacing w:val="7"/>
        </w:rPr>
      </w:pPr>
      <w:r>
        <w:rPr>
          <w:rFonts w:hint="eastAsia" w:ascii="Microsoft YaHei UI" w:hAnsi="Microsoft YaHei UI" w:eastAsia="Microsoft YaHei UI" w:cs="Microsoft YaHei UI"/>
          <w:i w:val="0"/>
          <w:iCs w:val="0"/>
          <w:caps w:val="0"/>
          <w:spacing w:val="7"/>
          <w:sz w:val="19"/>
          <w:szCs w:val="19"/>
          <w:bdr w:val="none" w:color="auto" w:sz="0" w:space="0"/>
          <w:shd w:val="clear" w:fill="FFFFFF"/>
        </w:rPr>
        <w:drawing>
          <wp:inline distT="0" distB="0" distL="114300" distR="114300">
            <wp:extent cx="304800" cy="304800"/>
            <wp:effectExtent l="0" t="0" r="0" b="0"/>
            <wp:docPr id="4" name="图片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 descr="IMG_264"/>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p>
    <w:p w14:paraId="4B3D185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6DB16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Emphasis"/>
    <w:basedOn w:val="5"/>
    <w:qFormat/>
    <w:uiPriority w:val="0"/>
    <w:rPr>
      <w:i/>
    </w:rPr>
  </w:style>
  <w:style w:type="character" w:styleId="8">
    <w:name w:val="Hyperlink"/>
    <w:basedOn w:val="5"/>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hyperlink" Target="https://mp.weixin.qq.com/s?__biz=MzA5NDQ5MDk0MA==%26mid=2247546837%26idx=2%26sn=2b81dfca6a57000e7a2978fd8c389a09%26scene=21#wechat_redirect" TargetMode="External"/><Relationship Id="rId5" Type="http://schemas.openxmlformats.org/officeDocument/2006/relationships/image" Target="../NULL"/><Relationship Id="rId4" Type="http://schemas.openxmlformats.org/officeDocument/2006/relationships/hyperlink" Target="https://mp.weixin.qq.com/s?__biz=MzA5NDQ5MDk0MA==%26mid=2247546800%26idx=1%26sn=3088aefd1039c5613eb06e5f32288ee1%26scene=21#wechat_redirect" TargetMode="Externa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2352</Words>
  <Characters>2444</Characters>
  <Lines>0</Lines>
  <Paragraphs>0</Paragraphs>
  <TotalTime>0</TotalTime>
  <ScaleCrop>false</ScaleCrop>
  <LinksUpToDate>false</LinksUpToDate>
  <CharactersWithSpaces>2447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2026-03-28T15:40:39Z</dcterms:created>
  <dc:creator>41862</dc:creator>
  <cp:lastModifiedBy>小云</cp:lastModifiedBy>
  <dcterms:modified xsi:type="dcterms:W3CDTF">2026-03-28T15:41:08Z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eyJoZGlkIjoiYjBlNWZiYTA4MTcxMjE2MzcwYTkwODIzY2NjYTYyMTciLCJ1c2VySWQiOiIyNzk4NTAxNTcifQ==</vt:lpwstr>
  </property>
  <property fmtid="{D5CDD505-2E9C-101B-9397-08002B2CF9AE}" pid="4" name="ICV">
    <vt:lpwstr>4AEFF61802834B998512E8F5843A5827_12</vt:lpwstr>
  </property>
</Properties>
</file>